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9DE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6E1D54C1">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D8F809E">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eastAsia="宋体" w:cs="宋体"/>
          <w:b/>
          <w:bCs/>
          <w:color w:val="auto"/>
          <w:kern w:val="1"/>
          <w:sz w:val="40"/>
          <w:szCs w:val="40"/>
          <w:highlight w:val="none"/>
          <w:lang w:val="en-US" w:eastAsia="zh-CN"/>
        </w:rPr>
        <w:t>苏州卓效建设工程有限公司</w:t>
      </w:r>
      <w:r>
        <w:rPr>
          <w:rFonts w:hint="eastAsia" w:ascii="宋体" w:hAnsi="宋体" w:cs="宋体"/>
          <w:b/>
          <w:bCs/>
          <w:color w:val="auto"/>
          <w:kern w:val="1"/>
          <w:sz w:val="40"/>
          <w:szCs w:val="40"/>
          <w:highlight w:val="none"/>
          <w:lang w:val="en-US" w:eastAsia="zh-CN"/>
        </w:rPr>
        <w:t>软土</w:t>
      </w:r>
      <w:r>
        <w:rPr>
          <w:rFonts w:hint="eastAsia" w:ascii="宋体" w:hAnsi="宋体" w:eastAsia="宋体" w:cs="宋体"/>
          <w:b/>
          <w:bCs/>
          <w:color w:val="auto"/>
          <w:kern w:val="1"/>
          <w:sz w:val="40"/>
          <w:szCs w:val="40"/>
          <w:highlight w:val="none"/>
          <w:lang w:val="en-US" w:eastAsia="zh-CN"/>
        </w:rPr>
        <w:t>固化剂运输业务</w:t>
      </w:r>
    </w:p>
    <w:p w14:paraId="54922764">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bookmarkStart w:id="3" w:name="_GoBack"/>
      <w:bookmarkEnd w:id="3"/>
    </w:p>
    <w:p w14:paraId="62BCFB90">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0"/>
                    <a:stretch>
                      <a:fillRect/>
                    </a:stretch>
                  </pic:blipFill>
                  <pic:spPr>
                    <a:xfrm>
                      <a:off x="0" y="0"/>
                      <a:ext cx="5578475" cy="3164840"/>
                    </a:xfrm>
                    <a:prstGeom prst="rect">
                      <a:avLst/>
                    </a:prstGeom>
                  </pic:spPr>
                </pic:pic>
              </a:graphicData>
            </a:graphic>
          </wp:inline>
        </w:drawing>
      </w:r>
    </w:p>
    <w:p w14:paraId="00B8293B">
      <w:pPr>
        <w:pStyle w:val="55"/>
        <w:rPr>
          <w:color w:val="auto"/>
          <w:highlight w:val="none"/>
        </w:rPr>
      </w:pPr>
    </w:p>
    <w:p w14:paraId="3386C053">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lang w:val="en-US" w:eastAsia="zh-CN"/>
        </w:rPr>
        <w:t>TGJA-JX-2026-065</w:t>
      </w:r>
    </w:p>
    <w:p w14:paraId="32EE43C4">
      <w:pPr>
        <w:pStyle w:val="55"/>
        <w:rPr>
          <w:rFonts w:hint="eastAsia"/>
          <w:color w:val="auto"/>
          <w:sz w:val="28"/>
          <w:szCs w:val="28"/>
          <w:highlight w:val="none"/>
          <w:lang w:val="en-US" w:eastAsia="zh-CN"/>
        </w:rPr>
      </w:pPr>
    </w:p>
    <w:p w14:paraId="4934B58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铜陵铜冠建安新型环保建材科技有限公司</w:t>
      </w:r>
      <w:r>
        <w:rPr>
          <w:rFonts w:hint="eastAsia" w:asciiTheme="minorEastAsia" w:hAnsiTheme="minorEastAsia" w:eastAsiaTheme="minorEastAsia" w:cstheme="minorEastAsia"/>
          <w:b/>
          <w:bCs/>
          <w:color w:val="auto"/>
          <w:sz w:val="28"/>
          <w:szCs w:val="28"/>
          <w:highlight w:val="none"/>
        </w:rPr>
        <w:t>（盖章）</w:t>
      </w:r>
    </w:p>
    <w:p w14:paraId="158ADC50">
      <w:pPr>
        <w:pStyle w:val="55"/>
        <w:rPr>
          <w:color w:val="auto"/>
          <w:sz w:val="28"/>
          <w:szCs w:val="28"/>
          <w:highlight w:val="none"/>
        </w:rPr>
      </w:pPr>
    </w:p>
    <w:p w14:paraId="2F4F2016">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133E430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31CAD42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铜陵铜冠建安新型环保建材科技有限公司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苏州卓效建设工程有限公司软土固化剂运输业务</w:t>
      </w:r>
      <w:r>
        <w:rPr>
          <w:rFonts w:hint="eastAsia" w:ascii="仿宋" w:hAnsi="仿宋" w:eastAsia="仿宋" w:cs="仿宋"/>
          <w:color w:val="auto"/>
          <w:sz w:val="24"/>
          <w:szCs w:val="24"/>
          <w:highlight w:val="none"/>
          <w:shd w:val="clear"/>
        </w:rPr>
        <w:t>询比采购。 </w:t>
      </w:r>
    </w:p>
    <w:p w14:paraId="7B64F38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03F62963">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765DCBF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147D4B20">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81C7DD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01F0F1B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202</w:t>
      </w:r>
      <w:r>
        <w:rPr>
          <w:rFonts w:hint="eastAsia" w:ascii="仿宋" w:hAnsi="仿宋" w:eastAsia="仿宋" w:cs="仿宋"/>
          <w:color w:val="auto"/>
          <w:sz w:val="24"/>
          <w:szCs w:val="24"/>
          <w:highlight w:val="none"/>
          <w:u w:val="single"/>
          <w:lang w:val="en-US" w:eastAsia="zh-CN"/>
        </w:rPr>
        <w:t xml:space="preserve">6 </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val="en-US" w:eastAsia="zh-CN"/>
        </w:rPr>
        <w:t xml:space="preserve"> 8 </w:t>
      </w:r>
      <w:r>
        <w:rPr>
          <w:rFonts w:hint="eastAsia" w:ascii="仿宋" w:hAnsi="仿宋" w:eastAsia="仿宋" w:cs="仿宋"/>
          <w:color w:val="auto"/>
          <w:sz w:val="24"/>
          <w:szCs w:val="24"/>
          <w:highlight w:val="none"/>
          <w:u w:val="single"/>
        </w:rPr>
        <w:t>月</w:t>
      </w:r>
      <w:r>
        <w:rPr>
          <w:rFonts w:hint="eastAsia" w:ascii="仿宋" w:hAnsi="仿宋" w:eastAsia="仿宋" w:cs="仿宋"/>
          <w:color w:val="auto"/>
          <w:sz w:val="24"/>
          <w:szCs w:val="24"/>
          <w:highlight w:val="none"/>
          <w:u w:val="single"/>
          <w:lang w:val="en-US" w:eastAsia="zh-CN"/>
        </w:rPr>
        <w:t xml:space="preserve"> 20 </w:t>
      </w:r>
      <w:r>
        <w:rPr>
          <w:rFonts w:hint="eastAsia" w:ascii="仿宋" w:hAnsi="仿宋" w:eastAsia="仿宋" w:cs="仿宋"/>
          <w:color w:val="auto"/>
          <w:sz w:val="24"/>
          <w:szCs w:val="24"/>
          <w:highlight w:val="none"/>
          <w:u w:val="single"/>
        </w:rPr>
        <w:t>日</w:t>
      </w:r>
    </w:p>
    <w:p w14:paraId="4AA0FD0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8F0550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277A6B5">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4D7F403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5934AD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7359411E">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highlight w:val="none"/>
          <w:u w:val="single"/>
          <w:lang w:val="en-US" w:eastAsia="zh-CN"/>
        </w:rPr>
        <w:t>苏州卓效建设工程有限公司软土固化剂运输业务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385B0A4C">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5147E9AE">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7EFBDF1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lang w:val="en-US" w:eastAsia="zh-CN"/>
        </w:rPr>
        <w:t>软土固化剂运输总量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lang w:val="en-US" w:eastAsia="zh-CN"/>
        </w:rPr>
        <w:t>软土固化剂运输量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1C79792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6DADDF1B">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568452DB">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10433254">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F7FF38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4D89F0DE">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51B10B5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793FC250">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3）车辆需具备自行泵送物料的功能；（4）车辆必须具备道路运输资格，证件、保险手续齐全；（5）驾驶员必须持证上岗，无重大运输违法记录。</w:t>
      </w:r>
    </w:p>
    <w:p w14:paraId="3511DDE1">
      <w:pPr>
        <w:spacing w:line="360" w:lineRule="auto"/>
        <w:ind w:firstLine="49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响应单位需要根据《铜陵市机动车和非道路移动机械排气污染防治条例》</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确保完成非道路移动机械所有人或使用人编码登记。</w:t>
      </w:r>
    </w:p>
    <w:p w14:paraId="7ED0A376">
      <w:pPr>
        <w:pStyle w:val="55"/>
        <w:keepNext w:val="0"/>
        <w:keepLines w:val="0"/>
        <w:pageBreakBefore w:val="0"/>
        <w:kinsoku/>
        <w:wordWrap/>
        <w:overflowPunct/>
        <w:topLinePunct w:val="0"/>
        <w:autoSpaceDE/>
        <w:autoSpaceDN/>
        <w:bidi w:val="0"/>
        <w:adjustRightInd/>
        <w:snapToGrid/>
        <w:spacing w:line="440" w:lineRule="exact"/>
        <w:ind w:left="0" w:leftChars="0" w:firstLine="0" w:firstLineChars="0"/>
        <w:rPr>
          <w:rFonts w:hint="eastAsia" w:ascii="仿宋" w:hAnsi="仿宋" w:eastAsia="仿宋" w:cs="仿宋"/>
          <w:color w:val="auto"/>
          <w:sz w:val="24"/>
          <w:szCs w:val="24"/>
          <w:highlight w:val="none"/>
        </w:rPr>
      </w:pPr>
    </w:p>
    <w:p w14:paraId="39791A83">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26D7D2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08AD2B6D">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637DBCE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2BA949B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p>
    <w:p w14:paraId="172CC1AB">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CCF0E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064FEA57">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46F23DC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w:t>
      </w:r>
      <w:r>
        <w:rPr>
          <w:rFonts w:hint="eastAsia" w:ascii="仿宋" w:hAnsi="仿宋" w:eastAsia="仿宋" w:cs="仿宋"/>
          <w:color w:val="auto"/>
          <w:sz w:val="24"/>
          <w:szCs w:val="24"/>
          <w:highlight w:val="none"/>
          <w:u w:val="single"/>
          <w:lang w:val="en-US" w:eastAsia="zh-CN"/>
        </w:rPr>
        <w:t>道路运输许可证等</w:t>
      </w:r>
      <w:r>
        <w:rPr>
          <w:rFonts w:hint="eastAsia" w:ascii="仿宋" w:hAnsi="仿宋" w:eastAsia="仿宋" w:cs="仿宋"/>
          <w:color w:val="auto"/>
          <w:sz w:val="24"/>
          <w:szCs w:val="24"/>
          <w:highlight w:val="none"/>
          <w:u w:val="single"/>
        </w:rPr>
        <w:t>，以上资料须加盖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015835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3、报名自采购公告发布之日起至 2026 年 8 月 19 日12:00止。</w:t>
      </w:r>
    </w:p>
    <w:p w14:paraId="46A1CEE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1A61EB4B">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508BEAE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六、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69CB3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6AA0455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1、响应文件递交的截止时间：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 xml:space="preserve">6 </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 xml:space="preserve"> 8 </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 xml:space="preserve"> 20 </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9</w:t>
      </w:r>
      <w:r>
        <w:rPr>
          <w:rFonts w:hint="eastAsia" w:ascii="仿宋" w:hAnsi="仿宋" w:eastAsia="仿宋" w:cs="仿宋"/>
          <w:color w:val="auto"/>
          <w:sz w:val="24"/>
          <w:szCs w:val="24"/>
          <w:highlight w:val="none"/>
          <w:u w:val="single"/>
          <w:lang w:eastAsia="zh-CN"/>
        </w:rPr>
        <w:t>:00</w:t>
      </w:r>
    </w:p>
    <w:p w14:paraId="7247FF9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51FD306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7A6A2BE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4EF74B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102111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7DE121F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587805C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lang w:val="en-US" w:eastAsia="zh-CN"/>
        </w:rPr>
        <w:t>软土固化剂运输的内容</w:t>
      </w:r>
    </w:p>
    <w:p w14:paraId="360E30E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shd w:val="clear" w:fill="FFFF00"/>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val="en-US" w:eastAsia="zh-CN"/>
        </w:rPr>
        <w:t>苏州卓效建设工程有限公司软土固化剂运输业务询比采购</w:t>
      </w:r>
      <w:r>
        <w:rPr>
          <w:rFonts w:hint="eastAsia" w:ascii="仿宋" w:hAnsi="仿宋" w:eastAsia="仿宋" w:cs="仿宋"/>
          <w:color w:val="auto"/>
          <w:sz w:val="24"/>
          <w:szCs w:val="24"/>
          <w:highlight w:val="none"/>
          <w:lang w:eastAsia="zh-CN"/>
        </w:rPr>
        <w:t>。</w:t>
      </w:r>
    </w:p>
    <w:p w14:paraId="2997482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）运输项目内容：运送软土固化剂至指定</w:t>
      </w:r>
      <w:r>
        <w:rPr>
          <w:rFonts w:hint="eastAsia" w:ascii="仿宋" w:hAnsi="仿宋" w:eastAsia="仿宋" w:cs="仿宋"/>
          <w:color w:val="auto"/>
          <w:sz w:val="24"/>
          <w:szCs w:val="24"/>
          <w:highlight w:val="none"/>
          <w:lang w:val="en-US" w:eastAsia="zh-CN"/>
        </w:rPr>
        <w:t>项目地点。</w:t>
      </w:r>
    </w:p>
    <w:p w14:paraId="61EC6149">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5C558F7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171E089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货物运输由铜冠建材公司厂内至</w:t>
      </w:r>
      <w:r>
        <w:rPr>
          <w:rFonts w:hint="eastAsia" w:ascii="仿宋" w:hAnsi="仿宋" w:eastAsia="仿宋" w:cs="仿宋"/>
          <w:b/>
          <w:bCs/>
          <w:color w:val="auto"/>
          <w:sz w:val="24"/>
          <w:szCs w:val="24"/>
          <w:highlight w:val="none"/>
          <w:lang w:val="en-US" w:eastAsia="zh-CN"/>
        </w:rPr>
        <w:t>苏州卓效建设工程有限公司</w:t>
      </w:r>
      <w:r>
        <w:rPr>
          <w:rFonts w:hint="eastAsia" w:ascii="仿宋" w:hAnsi="仿宋" w:eastAsia="仿宋" w:cs="仿宋"/>
          <w:b/>
          <w:bCs/>
          <w:color w:val="auto"/>
          <w:sz w:val="24"/>
          <w:szCs w:val="24"/>
          <w:highlight w:val="none"/>
        </w:rPr>
        <w:t>项目现场（安徽省芜湖市无为市陡沟镇吴家扁埂项目施工现场软土固化剂粉料仓，约</w:t>
      </w:r>
      <w:r>
        <w:rPr>
          <w:rFonts w:hint="eastAsia" w:ascii="仿宋" w:hAnsi="仿宋" w:eastAsia="仿宋" w:cs="仿宋"/>
          <w:b/>
          <w:bCs/>
          <w:color w:val="auto"/>
          <w:sz w:val="24"/>
          <w:szCs w:val="24"/>
          <w:highlight w:val="none"/>
          <w:lang w:val="en-US" w:eastAsia="zh-CN"/>
        </w:rPr>
        <w:t>90</w:t>
      </w:r>
      <w:r>
        <w:rPr>
          <w:rFonts w:hint="eastAsia" w:ascii="仿宋" w:hAnsi="仿宋" w:eastAsia="仿宋" w:cs="仿宋"/>
          <w:b/>
          <w:bCs/>
          <w:color w:val="auto"/>
          <w:sz w:val="24"/>
          <w:szCs w:val="24"/>
          <w:highlight w:val="none"/>
        </w:rPr>
        <w:t>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每辆车需配一个收尘袋，外接管道等耗材均由运输公司提供</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599A91B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前可联系陈晶18956266013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7AAF2CE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本项目所需成品由老线生产，成品仓储与施工单位仓储库容有限，装车及卸货环节可能均需排队等候(如果采用电车运输，请自行考虑电车续航能力)。若需等候，等候产生的全部费用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2FE4916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施工单位工期有限，若因运输延误对施工单位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扣除全部履约保证金，并在两年内不得参与铜冠建材公司有关的运输招标业务。</w:t>
      </w:r>
    </w:p>
    <w:p w14:paraId="1409C0C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w:t>
      </w:r>
      <w:r>
        <w:rPr>
          <w:rFonts w:hint="eastAsia" w:ascii="仿宋" w:hAnsi="仿宋" w:eastAsia="仿宋" w:cs="仿宋"/>
          <w:b/>
          <w:bCs/>
          <w:color w:val="auto"/>
          <w:sz w:val="24"/>
          <w:szCs w:val="24"/>
          <w:highlight w:val="none"/>
          <w:lang w:val="en-US" w:eastAsia="zh-CN"/>
        </w:rPr>
        <w:t>24000吨</w:t>
      </w:r>
      <w:r>
        <w:rPr>
          <w:rFonts w:hint="eastAsia" w:ascii="仿宋" w:hAnsi="仿宋" w:eastAsia="仿宋" w:cs="仿宋"/>
          <w:b/>
          <w:bCs/>
          <w:color w:val="auto"/>
          <w:sz w:val="24"/>
          <w:szCs w:val="24"/>
          <w:highlight w:val="none"/>
        </w:rPr>
        <w:t>为预估量，以施工单位的实际需求量为准，施工单位的需求结束后，本次招标涉及的合同自动终止。</w:t>
      </w:r>
    </w:p>
    <w:p w14:paraId="1A0FEB6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0256E65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18412E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4、运输费支付：甲方按上月入账金额在次月支付70%，2027年2月10日（一周内）付至90%,余款2027年9月30日（一周内）付清。</w:t>
      </w:r>
    </w:p>
    <w:p w14:paraId="5AEEB5DB">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如由乙方原因造成漏单，次月补办时甲方有权扣除所漏《发货单》运输费的50%。</w:t>
      </w:r>
      <w:r>
        <w:rPr>
          <w:rFonts w:hint="eastAsia" w:ascii="仿宋" w:hAnsi="仿宋" w:eastAsia="仿宋" w:cs="仿宋"/>
          <w:color w:val="auto"/>
          <w:sz w:val="24"/>
          <w:szCs w:val="24"/>
          <w:highlight w:val="none"/>
          <w:lang w:eastAsia="zh-CN"/>
        </w:rPr>
        <w:t>无回单（运输联）或签收不符合要求不予结算运费。</w:t>
      </w:r>
    </w:p>
    <w:p w14:paraId="093B2313">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48EA4A02">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12C6CA8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0721C6B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3300DD3">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4CA4B67">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0C83F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6F0A7BF4">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安徽省芜湖市无为市陡沟镇吴家扁埂项目施工现场软土固化剂粉料仓</w:t>
      </w:r>
      <w:r>
        <w:rPr>
          <w:rFonts w:hint="eastAsia" w:ascii="仿宋" w:hAnsi="仿宋" w:eastAsia="仿宋" w:cs="仿宋"/>
          <w:color w:val="auto"/>
          <w:sz w:val="24"/>
          <w:szCs w:val="24"/>
          <w:highlight w:val="none"/>
          <w:u w:val="single"/>
        </w:rPr>
        <w:t>。</w:t>
      </w:r>
    </w:p>
    <w:p w14:paraId="3BBFA810">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auto"/>
          <w:sz w:val="24"/>
          <w:szCs w:val="24"/>
          <w:highlight w:val="none"/>
          <w:u w:val="single"/>
          <w:lang w:val="en-US" w:eastAsia="zh-CN"/>
        </w:rPr>
        <w:t>软土固化剂运输业务由承运商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BB9EDF6">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建材磅房过磅数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2AD16F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3A2EE6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八、评审及成交履约要求</w:t>
      </w:r>
    </w:p>
    <w:p w14:paraId="25DFE2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2A3FC64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67C9427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p>
    <w:p w14:paraId="19B7F038">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011B79E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60E9BE6">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7E92C158">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0BBEB5E3">
      <w:pPr>
        <w:pStyle w:val="154"/>
        <w:keepNext w:val="0"/>
        <w:keepLines w:val="0"/>
        <w:pageBreakBefore w:val="0"/>
        <w:numPr>
          <w:ilvl w:val="0"/>
          <w:numId w:val="3"/>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纪律和监督</w:t>
      </w:r>
    </w:p>
    <w:p w14:paraId="1545F25F">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1F2A7F8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796730F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165FBE1E">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5B4B10B4">
      <w:pPr>
        <w:pStyle w:val="4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40" w:lineRule="exact"/>
        <w:ind w:left="0" w:leftChars="0" w:firstLine="490" w:firstLineChars="200"/>
        <w:jc w:val="center"/>
        <w:rPr>
          <w:rFonts w:ascii="仿宋" w:hAnsi="仿宋" w:eastAsia="仿宋" w:cs="仿宋"/>
          <w:b/>
          <w:bCs/>
          <w:color w:val="auto"/>
          <w:sz w:val="24"/>
          <w:szCs w:val="24"/>
          <w:highlight w:val="none"/>
        </w:rPr>
      </w:pPr>
      <w:r>
        <w:rPr>
          <w:rFonts w:ascii="仿宋" w:hAnsi="仿宋" w:eastAsia="仿宋" w:cs="仿宋"/>
          <w:b/>
          <w:bCs/>
          <w:color w:val="auto"/>
          <w:sz w:val="24"/>
          <w:szCs w:val="24"/>
          <w:highlight w:val="none"/>
        </w:rPr>
        <w:t>响应文件组成</w:t>
      </w:r>
    </w:p>
    <w:p w14:paraId="7F8EC0C9">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ascii="仿宋" w:hAnsi="仿宋" w:eastAsia="仿宋" w:cs="仿宋"/>
          <w:b/>
          <w:bCs/>
          <w:color w:val="auto"/>
          <w:sz w:val="24"/>
          <w:szCs w:val="24"/>
          <w:highlight w:val="none"/>
        </w:rPr>
      </w:pPr>
    </w:p>
    <w:p w14:paraId="6AE9B52F">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firstLine="490" w:firstLineChars="200"/>
        <w:jc w:val="left"/>
        <w:rPr>
          <w:color w:val="auto"/>
          <w:highlight w:val="none"/>
        </w:rPr>
      </w:pPr>
      <w:r>
        <w:rPr>
          <w:rFonts w:hint="eastAsia" w:ascii="仿宋" w:hAnsi="仿宋" w:eastAsia="仿宋" w:cs="仿宋"/>
          <w:color w:val="auto"/>
          <w:sz w:val="24"/>
          <w:szCs w:val="24"/>
          <w:highlight w:val="none"/>
        </w:rPr>
        <w:t>1、响应文件封面</w:t>
      </w:r>
    </w:p>
    <w:p w14:paraId="1126B8D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firstLine="490" w:firstLineChars="200"/>
        <w:jc w:val="left"/>
        <w:rPr>
          <w:color w:val="auto"/>
          <w:highlight w:val="none"/>
        </w:rPr>
      </w:pPr>
      <w:r>
        <w:rPr>
          <w:rFonts w:hint="eastAsia" w:ascii="仿宋" w:hAnsi="仿宋" w:eastAsia="仿宋" w:cs="仿宋"/>
          <w:color w:val="auto"/>
          <w:sz w:val="24"/>
          <w:szCs w:val="24"/>
          <w:highlight w:val="none"/>
        </w:rPr>
        <w:t>2、法定代表人授权书（需附：法定代表人、代理人身份证复印件）</w:t>
      </w:r>
    </w:p>
    <w:p w14:paraId="6E740092">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firstLine="490" w:firstLineChars="200"/>
        <w:jc w:val="left"/>
        <w:rPr>
          <w:color w:val="auto"/>
          <w:highlight w:val="none"/>
        </w:rPr>
      </w:pPr>
      <w:r>
        <w:rPr>
          <w:rFonts w:hint="eastAsia" w:ascii="仿宋" w:hAnsi="仿宋" w:eastAsia="仿宋" w:cs="仿宋"/>
          <w:color w:val="auto"/>
          <w:sz w:val="24"/>
          <w:szCs w:val="24"/>
          <w:highlight w:val="none"/>
        </w:rPr>
        <w:t>3、企业营业执照复印件（需加盖公章）</w:t>
      </w:r>
    </w:p>
    <w:p w14:paraId="66CEF51E">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90" w:leftChars="228"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4、廉洁承诺书</w:t>
      </w:r>
    </w:p>
    <w:p w14:paraId="3D4FAB00">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90" w:leftChars="228" w:firstLine="0" w:firstLineChars="0"/>
        <w:jc w:val="left"/>
        <w:rPr>
          <w:rFonts w:hint="eastAsia" w:ascii="仿宋" w:hAnsi="仿宋" w:eastAsia="仿宋" w:cs="仿宋"/>
          <w:b/>
          <w:color w:val="auto"/>
          <w:sz w:val="24"/>
          <w:szCs w:val="24"/>
          <w:highlight w:val="none"/>
        </w:rPr>
      </w:pPr>
      <w:r>
        <w:rPr>
          <w:rFonts w:hint="eastAsia"/>
          <w:color w:val="auto"/>
          <w:highlight w:val="none"/>
          <w:lang w:val="en-US" w:eastAsia="zh-CN"/>
        </w:rPr>
        <w:t>5</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询比报价单</w:t>
      </w:r>
    </w:p>
    <w:p w14:paraId="019BFD04">
      <w:pPr>
        <w:spacing w:line="360" w:lineRule="auto"/>
        <w:jc w:val="center"/>
        <w:rPr>
          <w:rFonts w:hint="eastAsia" w:ascii="仿宋" w:hAnsi="仿宋" w:eastAsia="仿宋" w:cs="仿宋"/>
          <w:b/>
          <w:color w:val="auto"/>
          <w:sz w:val="24"/>
          <w:szCs w:val="24"/>
          <w:highlight w:val="none"/>
        </w:rPr>
      </w:pPr>
    </w:p>
    <w:p w14:paraId="4DAB044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78925DD1">
      <w:pPr>
        <w:spacing w:line="360" w:lineRule="auto"/>
        <w:jc w:val="center"/>
        <w:rPr>
          <w:rFonts w:hint="eastAsia" w:ascii="仿宋" w:hAnsi="仿宋" w:eastAsia="仿宋" w:cs="仿宋"/>
          <w:b/>
          <w:color w:val="auto"/>
          <w:sz w:val="24"/>
          <w:szCs w:val="24"/>
          <w:highlight w:val="none"/>
        </w:rPr>
      </w:pPr>
    </w:p>
    <w:p w14:paraId="1A6413C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21659C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992EE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0211E8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6514EBED">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7DA43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58ACBF">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D148604">
      <w:pPr>
        <w:spacing w:before="156" w:beforeLines="50" w:after="156" w:afterLines="50" w:line="360" w:lineRule="auto"/>
        <w:rPr>
          <w:rFonts w:hint="eastAsia" w:ascii="仿宋" w:hAnsi="仿宋" w:eastAsia="仿宋" w:cs="仿宋"/>
          <w:color w:val="auto"/>
          <w:sz w:val="24"/>
          <w:szCs w:val="24"/>
          <w:highlight w:val="none"/>
        </w:rPr>
      </w:pPr>
    </w:p>
    <w:p w14:paraId="642B62A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602FFA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992C16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24A2D1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87EE2DD">
      <w:pPr>
        <w:spacing w:line="360" w:lineRule="auto"/>
        <w:jc w:val="center"/>
        <w:rPr>
          <w:rFonts w:hint="eastAsia" w:ascii="仿宋" w:hAnsi="仿宋" w:eastAsia="仿宋" w:cs="仿宋"/>
          <w:b/>
          <w:color w:val="auto"/>
          <w:sz w:val="24"/>
          <w:szCs w:val="24"/>
          <w:highlight w:val="none"/>
        </w:rPr>
      </w:pPr>
    </w:p>
    <w:p w14:paraId="57F0A21E">
      <w:pPr>
        <w:spacing w:line="360" w:lineRule="auto"/>
        <w:jc w:val="center"/>
        <w:rPr>
          <w:rFonts w:hint="eastAsia" w:ascii="仿宋" w:hAnsi="仿宋" w:eastAsia="仿宋" w:cs="仿宋"/>
          <w:b/>
          <w:color w:val="auto"/>
          <w:sz w:val="24"/>
          <w:szCs w:val="24"/>
          <w:highlight w:val="none"/>
        </w:rPr>
      </w:pPr>
    </w:p>
    <w:p w14:paraId="5FC70B4D">
      <w:pPr>
        <w:spacing w:line="360" w:lineRule="auto"/>
        <w:jc w:val="both"/>
        <w:rPr>
          <w:rFonts w:hint="eastAsia" w:ascii="仿宋" w:hAnsi="仿宋" w:eastAsia="仿宋" w:cs="仿宋"/>
          <w:b/>
          <w:color w:val="auto"/>
          <w:sz w:val="24"/>
          <w:szCs w:val="24"/>
          <w:highlight w:val="none"/>
        </w:rPr>
      </w:pPr>
    </w:p>
    <w:p w14:paraId="37DF018D">
      <w:pPr>
        <w:spacing w:line="360" w:lineRule="auto"/>
        <w:jc w:val="both"/>
        <w:rPr>
          <w:rFonts w:hint="eastAsia" w:ascii="仿宋" w:hAnsi="仿宋" w:eastAsia="仿宋" w:cs="仿宋"/>
          <w:b/>
          <w:color w:val="auto"/>
          <w:sz w:val="24"/>
          <w:szCs w:val="24"/>
          <w:highlight w:val="none"/>
        </w:rPr>
      </w:pPr>
    </w:p>
    <w:p w14:paraId="001A83A8">
      <w:pPr>
        <w:spacing w:line="360" w:lineRule="auto"/>
        <w:jc w:val="both"/>
        <w:rPr>
          <w:rFonts w:hint="eastAsia" w:ascii="仿宋" w:hAnsi="仿宋" w:eastAsia="仿宋" w:cs="仿宋"/>
          <w:b/>
          <w:color w:val="auto"/>
          <w:sz w:val="24"/>
          <w:szCs w:val="24"/>
          <w:highlight w:val="none"/>
        </w:rPr>
      </w:pPr>
    </w:p>
    <w:p w14:paraId="32453651">
      <w:pPr>
        <w:spacing w:line="360" w:lineRule="auto"/>
        <w:jc w:val="center"/>
        <w:rPr>
          <w:rFonts w:hint="eastAsia" w:ascii="仿宋" w:hAnsi="仿宋" w:eastAsia="仿宋" w:cs="仿宋"/>
          <w:b/>
          <w:color w:val="auto"/>
          <w:sz w:val="24"/>
          <w:szCs w:val="24"/>
          <w:highlight w:val="none"/>
        </w:rPr>
      </w:pPr>
    </w:p>
    <w:p w14:paraId="5F849853">
      <w:pPr>
        <w:spacing w:line="360" w:lineRule="auto"/>
        <w:jc w:val="center"/>
        <w:rPr>
          <w:rFonts w:hint="eastAsia" w:ascii="仿宋" w:hAnsi="仿宋" w:eastAsia="仿宋" w:cs="仿宋"/>
          <w:b/>
          <w:color w:val="auto"/>
          <w:sz w:val="24"/>
          <w:szCs w:val="24"/>
          <w:highlight w:val="none"/>
        </w:rPr>
      </w:pPr>
    </w:p>
    <w:p w14:paraId="2E0BEE0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39E7F372">
      <w:pPr>
        <w:spacing w:line="360" w:lineRule="auto"/>
        <w:ind w:firstLine="490" w:firstLineChars="200"/>
        <w:rPr>
          <w:rFonts w:hint="eastAsia" w:ascii="仿宋" w:hAnsi="仿宋" w:eastAsia="仿宋" w:cs="仿宋"/>
          <w:color w:val="auto"/>
          <w:sz w:val="24"/>
          <w:szCs w:val="24"/>
          <w:highlight w:val="none"/>
        </w:rPr>
      </w:pPr>
    </w:p>
    <w:p w14:paraId="48D92E44">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024FD07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6AC4A2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E524B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auto"/>
          <w:sz w:val="24"/>
          <w:szCs w:val="24"/>
          <w:highlight w:val="none"/>
          <w:u w:val="single"/>
        </w:rPr>
      </w:pPr>
    </w:p>
    <w:p w14:paraId="50A60796">
      <w:pPr>
        <w:spacing w:line="360" w:lineRule="auto"/>
        <w:ind w:firstLine="4655" w:firstLineChars="1900"/>
        <w:rPr>
          <w:rFonts w:hint="eastAsia" w:ascii="仿宋" w:hAnsi="仿宋" w:eastAsia="仿宋" w:cs="仿宋"/>
          <w:color w:val="auto"/>
          <w:sz w:val="24"/>
          <w:szCs w:val="24"/>
          <w:highlight w:val="none"/>
        </w:rPr>
      </w:pPr>
    </w:p>
    <w:p w14:paraId="49138562">
      <w:pPr>
        <w:spacing w:line="360" w:lineRule="auto"/>
        <w:ind w:firstLine="4410" w:firstLineChars="1800"/>
        <w:rPr>
          <w:rFonts w:hint="eastAsia" w:ascii="仿宋" w:hAnsi="仿宋" w:eastAsia="仿宋" w:cs="仿宋"/>
          <w:color w:val="auto"/>
          <w:sz w:val="24"/>
          <w:szCs w:val="24"/>
          <w:highlight w:val="none"/>
        </w:rPr>
      </w:pPr>
    </w:p>
    <w:p w14:paraId="1E6C3C53">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659FF597">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3E904E71">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3E5A5967">
      <w:pPr>
        <w:pStyle w:val="55"/>
        <w:rPr>
          <w:rFonts w:hint="eastAsia" w:ascii="仿宋" w:hAnsi="仿宋" w:eastAsia="仿宋" w:cs="仿宋"/>
          <w:color w:val="auto"/>
          <w:sz w:val="24"/>
          <w:szCs w:val="24"/>
          <w:highlight w:val="none"/>
        </w:rPr>
      </w:pPr>
    </w:p>
    <w:p w14:paraId="693A6FB6">
      <w:pPr>
        <w:pStyle w:val="55"/>
        <w:rPr>
          <w:rFonts w:hint="eastAsia" w:ascii="仿宋" w:hAnsi="仿宋" w:eastAsia="仿宋" w:cs="仿宋"/>
          <w:color w:val="auto"/>
          <w:sz w:val="24"/>
          <w:szCs w:val="24"/>
          <w:highlight w:val="none"/>
        </w:rPr>
      </w:pPr>
    </w:p>
    <w:p w14:paraId="54D05AE1">
      <w:pPr>
        <w:pStyle w:val="55"/>
        <w:rPr>
          <w:rFonts w:hint="eastAsia" w:ascii="仿宋" w:hAnsi="仿宋" w:eastAsia="仿宋" w:cs="仿宋"/>
          <w:color w:val="auto"/>
          <w:sz w:val="24"/>
          <w:szCs w:val="24"/>
          <w:highlight w:val="none"/>
        </w:rPr>
      </w:pPr>
    </w:p>
    <w:p w14:paraId="7539C6E7">
      <w:pPr>
        <w:pStyle w:val="55"/>
        <w:rPr>
          <w:rFonts w:hint="eastAsia" w:ascii="仿宋" w:hAnsi="仿宋" w:eastAsia="仿宋" w:cs="仿宋"/>
          <w:color w:val="auto"/>
          <w:sz w:val="24"/>
          <w:szCs w:val="24"/>
          <w:highlight w:val="none"/>
        </w:rPr>
      </w:pPr>
    </w:p>
    <w:p w14:paraId="772C6324">
      <w:pPr>
        <w:pStyle w:val="55"/>
        <w:rPr>
          <w:rFonts w:hint="eastAsia" w:ascii="仿宋" w:hAnsi="仿宋" w:eastAsia="仿宋" w:cs="仿宋"/>
          <w:color w:val="auto"/>
          <w:sz w:val="24"/>
          <w:szCs w:val="24"/>
          <w:highlight w:val="none"/>
        </w:rPr>
      </w:pPr>
    </w:p>
    <w:p w14:paraId="38094C87">
      <w:pPr>
        <w:pStyle w:val="55"/>
        <w:ind w:left="0" w:leftChars="0" w:firstLine="0" w:firstLineChars="0"/>
        <w:rPr>
          <w:rFonts w:hint="eastAsia" w:ascii="仿宋" w:hAnsi="仿宋" w:eastAsia="仿宋" w:cs="仿宋"/>
          <w:color w:val="auto"/>
          <w:sz w:val="24"/>
          <w:szCs w:val="24"/>
          <w:highlight w:val="none"/>
        </w:rPr>
        <w:sectPr>
          <w:headerReference r:id="rId6" w:type="default"/>
          <w:pgSz w:w="11906" w:h="16838"/>
          <w:pgMar w:top="1417" w:right="1315" w:bottom="1417" w:left="12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auto"/>
          <w:sz w:val="24"/>
          <w:szCs w:val="24"/>
          <w:highlight w:val="none"/>
          <w:u w:val="thick"/>
          <w:lang w:val="en-US" w:eastAsia="zh-CN" w:bidi="ar"/>
        </w:rPr>
      </w:pPr>
    </w:p>
    <w:p w14:paraId="18096585">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铜陵铜冠建安新型环保建材科技有限公司苏州卓效建设工程有限公司软土固化剂运输业务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4D452560">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TGJA-JX-2026-065</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31F1C35A">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预计距离</w:t>
            </w:r>
          </w:p>
          <w:p w14:paraId="50D2D874">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szCs w:val="24"/>
                <w:highlight w:val="none"/>
                <w:lang w:val="en-US" w:eastAsia="zh-CN"/>
                <w14:textFill>
                  <w14:solidFill>
                    <w14:schemeClr w14:val="tx1"/>
                  </w14:solidFill>
                </w14:textFill>
              </w:rPr>
              <w:t>km</w:t>
            </w:r>
            <w:r>
              <w:rPr>
                <w:rFonts w:hint="eastAsia" w:ascii="仿宋" w:hAnsi="仿宋" w:eastAsia="仿宋" w:cs="仿宋"/>
                <w:b/>
                <w:color w:val="000000" w:themeColor="text1"/>
                <w:sz w:val="24"/>
                <w:szCs w:val="24"/>
                <w:highlight w:val="none"/>
                <w:lang w:eastAsia="zh-CN"/>
                <w14:textFill>
                  <w14:solidFill>
                    <w14:schemeClr w14:val="tx1"/>
                  </w14:solidFill>
                </w14:textFill>
              </w:rPr>
              <w:t>）</w:t>
            </w:r>
          </w:p>
        </w:tc>
        <w:tc>
          <w:tcPr>
            <w:tcW w:w="1473" w:type="dxa"/>
            <w:gridSpan w:val="2"/>
            <w:vMerge w:val="restart"/>
            <w:noWrap w:val="0"/>
            <w:vAlign w:val="center"/>
          </w:tcPr>
          <w:p w14:paraId="16A66342">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数量</w:t>
            </w:r>
          </w:p>
          <w:p w14:paraId="5E35EA40">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（吨）</w:t>
            </w:r>
          </w:p>
        </w:tc>
        <w:tc>
          <w:tcPr>
            <w:tcW w:w="1582"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（元/吨）</w:t>
            </w:r>
          </w:p>
        </w:tc>
        <w:tc>
          <w:tcPr>
            <w:tcW w:w="2858"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785F4B5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246FD107">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14:textFill>
                  <w14:solidFill>
                    <w14:schemeClr w14:val="tx1"/>
                  </w14:solidFill>
                </w14:textFill>
              </w:rPr>
            </w:pPr>
          </w:p>
        </w:tc>
        <w:tc>
          <w:tcPr>
            <w:tcW w:w="1473" w:type="dxa"/>
            <w:gridSpan w:val="2"/>
            <w:vMerge w:val="continue"/>
            <w:noWrap w:val="0"/>
            <w:vAlign w:val="center"/>
          </w:tcPr>
          <w:p w14:paraId="12FA54A7">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val="en-US" w:eastAsia="zh-CN"/>
                <w14:textFill>
                  <w14:solidFill>
                    <w14:schemeClr w14:val="tx1"/>
                  </w14:solidFill>
                </w14:textFill>
              </w:rPr>
            </w:pPr>
          </w:p>
        </w:tc>
        <w:tc>
          <w:tcPr>
            <w:tcW w:w="1582" w:type="dxa"/>
            <w:vMerge w:val="continue"/>
            <w:noWrap w:val="0"/>
            <w:vAlign w:val="center"/>
          </w:tcPr>
          <w:p w14:paraId="6006336E">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szCs w:val="24"/>
                <w:highlight w:val="none"/>
                <w:lang w:eastAsia="zh-CN"/>
                <w14:textFill>
                  <w14:solidFill>
                    <w14:schemeClr w14:val="tx1"/>
                  </w14:solidFill>
                </w14:textFill>
              </w:rPr>
            </w:pPr>
          </w:p>
        </w:tc>
        <w:tc>
          <w:tcPr>
            <w:tcW w:w="1429"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582A223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1" w:colFirst="5" w:colLast="5"/>
            <w:bookmarkStart w:id="2" w:name="OLE_LINK2" w:colFirst="6" w:colLast="6"/>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75C8C229">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铜冠建材-苏州卓效</w:t>
            </w:r>
          </w:p>
        </w:tc>
        <w:tc>
          <w:tcPr>
            <w:tcW w:w="960"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2398" w:type="dxa"/>
            <w:shd w:val="clear" w:color="auto" w:fill="auto"/>
            <w:noWrap w:val="0"/>
            <w:vAlign w:val="center"/>
          </w:tcPr>
          <w:p w14:paraId="1FB37BC3">
            <w:pPr>
              <w:keepNext w:val="0"/>
              <w:keepLines w:val="0"/>
              <w:suppressLineNumbers w:val="0"/>
              <w:spacing w:before="0" w:beforeAutospacing="0" w:after="0" w:afterAutospacing="0"/>
              <w:ind w:left="0" w:right="0"/>
              <w:jc w:val="center"/>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约</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90</w:t>
            </w:r>
            <w:r>
              <w:rPr>
                <w:rFonts w:hint="eastAsia" w:ascii="仿宋" w:hAnsi="仿宋" w:eastAsia="仿宋" w:cs="仿宋"/>
                <w:b/>
                <w:bCs/>
                <w:color w:val="000000" w:themeColor="text1"/>
                <w:sz w:val="24"/>
                <w:szCs w:val="24"/>
                <w:highlight w:val="none"/>
                <w14:textFill>
                  <w14:solidFill>
                    <w14:schemeClr w14:val="tx1"/>
                  </w14:solidFill>
                </w14:textFill>
              </w:rPr>
              <w:t>公里</w:t>
            </w:r>
          </w:p>
          <w:p w14:paraId="2200E20D">
            <w:pPr>
              <w:keepNext w:val="0"/>
              <w:keepLines w:val="0"/>
              <w:suppressLineNumbers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实际</w:t>
            </w:r>
            <w:r>
              <w:rPr>
                <w:rFonts w:hint="eastAsia" w:ascii="仿宋" w:hAnsi="仿宋" w:eastAsia="仿宋" w:cs="仿宋"/>
                <w:b/>
                <w:bCs/>
                <w:color w:val="000000" w:themeColor="text1"/>
                <w:sz w:val="24"/>
                <w:szCs w:val="24"/>
                <w:highlight w:val="none"/>
                <w14:textFill>
                  <w14:solidFill>
                    <w14:schemeClr w14:val="tx1"/>
                  </w14:solidFill>
                </w14:textFill>
              </w:rPr>
              <w:t>距离以自行勘探</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距离</w:t>
            </w:r>
            <w:r>
              <w:rPr>
                <w:rFonts w:hint="eastAsia" w:ascii="仿宋" w:hAnsi="仿宋" w:eastAsia="仿宋" w:cs="仿宋"/>
                <w:b/>
                <w:bCs/>
                <w:color w:val="000000" w:themeColor="text1"/>
                <w:sz w:val="24"/>
                <w:szCs w:val="24"/>
                <w:highlight w:val="none"/>
                <w14:textFill>
                  <w14:solidFill>
                    <w14:schemeClr w14:val="tx1"/>
                  </w14:solidFill>
                </w14:textFill>
              </w:rPr>
              <w:t>为准</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p>
        </w:tc>
        <w:tc>
          <w:tcPr>
            <w:tcW w:w="1473" w:type="dxa"/>
            <w:gridSpan w:val="2"/>
            <w:shd w:val="clear" w:color="auto" w:fill="auto"/>
            <w:noWrap w:val="0"/>
            <w:vAlign w:val="center"/>
          </w:tcPr>
          <w:p w14:paraId="0C0825A2">
            <w:pPr>
              <w:keepNext w:val="0"/>
              <w:keepLines w:val="0"/>
              <w:suppressLineNumbers w:val="0"/>
              <w:spacing w:before="0" w:beforeAutospacing="0" w:after="0" w:afterAutospacing="0"/>
              <w:ind w:left="0" w:right="0"/>
              <w:jc w:val="center"/>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暂定24000</w:t>
            </w:r>
          </w:p>
        </w:tc>
        <w:tc>
          <w:tcPr>
            <w:tcW w:w="1582" w:type="dxa"/>
            <w:shd w:val="clear" w:color="auto" w:fill="auto"/>
            <w:noWrap w:val="0"/>
            <w:vAlign w:val="center"/>
          </w:tcPr>
          <w:p w14:paraId="3576F19A">
            <w:pPr>
              <w:keepNext w:val="0"/>
              <w:keepLines w:val="0"/>
              <w:suppressLineNumbers w:val="0"/>
              <w:spacing w:before="0" w:beforeAutospacing="0" w:after="0" w:afterAutospacing="0"/>
              <w:ind w:left="0" w:right="0"/>
              <w:jc w:val="both"/>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     40       </w:t>
            </w:r>
          </w:p>
        </w:tc>
        <w:tc>
          <w:tcPr>
            <w:tcW w:w="1429" w:type="dxa"/>
            <w:shd w:val="clear" w:color="auto" w:fill="auto"/>
            <w:noWrap w:val="0"/>
            <w:vAlign w:val="center"/>
          </w:tcPr>
          <w:p w14:paraId="1677F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1"/>
      <w:bookmarkEnd w:id="2"/>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最高限价合计</w:t>
            </w:r>
          </w:p>
        </w:tc>
        <w:tc>
          <w:tcPr>
            <w:tcW w:w="2372" w:type="dxa"/>
            <w:gridSpan w:val="2"/>
            <w:shd w:val="clear" w:color="auto" w:fill="auto"/>
            <w:noWrap w:val="0"/>
            <w:vAlign w:val="center"/>
          </w:tcPr>
          <w:p w14:paraId="0E52217D">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themeColor="text1"/>
                <w:kern w:val="2"/>
                <w:sz w:val="22"/>
                <w:szCs w:val="22"/>
                <w:highlight w:val="none"/>
                <w:u w:val="none"/>
                <w:lang w:val="en-US" w:eastAsia="zh-CN" w:bidi="ar-SA"/>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      960000</w:t>
            </w:r>
          </w:p>
        </w:tc>
        <w:tc>
          <w:tcPr>
            <w:tcW w:w="1429" w:type="dxa"/>
            <w:noWrap w:val="0"/>
            <w:vAlign w:val="center"/>
          </w:tcPr>
          <w:p w14:paraId="14F3628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2B8E3A90">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178309E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21C3A3F">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以上为暂估运输量；以建材磅房过磅数为准。</w:t>
            </w:r>
          </w:p>
          <w:p w14:paraId="0329BF7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6A2E5D3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如果运输过程中承运单位对询比采购单位对应的软土固化剂接收项目造成经济损失，则造成一切费用由成交人赔付，同时对承运单位进行对应处罚。</w:t>
            </w:r>
          </w:p>
          <w:p w14:paraId="49EF48C9">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72F02AB5">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w:t>
            </w:r>
            <w:r>
              <w:rPr>
                <w:rFonts w:hint="eastAsia" w:ascii="仿宋" w:hAnsi="仿宋" w:eastAsia="仿宋" w:cs="仿宋"/>
                <w:color w:val="000000" w:themeColor="text1"/>
                <w:kern w:val="0"/>
                <w:sz w:val="21"/>
                <w:szCs w:val="21"/>
                <w:highlight w:val="none"/>
                <w:lang w:val="en-US" w:eastAsia="zh-CN" w:bidi="ar"/>
                <w14:textFill>
                  <w14:solidFill>
                    <w14:schemeClr w14:val="tx1"/>
                  </w14:solidFill>
                </w14:textFill>
              </w:rPr>
              <w:t>2026年8月28日至2027年6月30日</w:t>
            </w:r>
            <w:r>
              <w:rPr>
                <w:rFonts w:hint="eastAsia" w:ascii="仿宋" w:hAnsi="仿宋" w:eastAsia="仿宋" w:cs="仿宋"/>
                <w:color w:val="auto"/>
                <w:kern w:val="0"/>
                <w:sz w:val="21"/>
                <w:szCs w:val="21"/>
                <w:highlight w:val="none"/>
                <w:lang w:val="en-US" w:eastAsia="zh-CN" w:bidi="ar"/>
              </w:rPr>
              <w:t>（供货期内以实际供货数量为准）。</w:t>
            </w:r>
          </w:p>
          <w:p w14:paraId="4033A173">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销售价格赔偿损失，从承运单位当月运输费中双倍扣除。如承运单位在终点厂区发现过磅数据异常需及时跟甲方进行反馈。</w:t>
            </w:r>
          </w:p>
          <w:p w14:paraId="2957253A">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为保证合同的严格履行,在合同签定后7天内,承运单位向甲方缴纳安全履约保证金：人民币伍万元整（¥50000.00），安全履约保证金在合同终止且双方结算完毕后一个月内无息返还。</w:t>
            </w:r>
          </w:p>
        </w:tc>
      </w:tr>
    </w:tbl>
    <w:p w14:paraId="29E7AE45">
      <w:pPr>
        <w:spacing w:line="240" w:lineRule="auto"/>
        <w:rPr>
          <w:rFonts w:hint="eastAsia" w:ascii="仿宋" w:hAnsi="仿宋" w:eastAsia="仿宋" w:cs="仿宋"/>
          <w:color w:val="auto"/>
          <w:sz w:val="28"/>
          <w:szCs w:val="28"/>
          <w:highlight w:val="none"/>
          <w:u w:val="single"/>
        </w:rPr>
        <w:sectPr>
          <w:headerReference r:id="rId7"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2D427E89">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358A0D8E">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9FB04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辆类别：罐式粉状物料运输车，额定载重量不低于30吨；</w:t>
      </w:r>
    </w:p>
    <w:p w14:paraId="76371D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743AF9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13BA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505DE21A">
      <w:pPr>
        <w:keepNext w:val="0"/>
        <w:keepLines w:val="0"/>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响应单位需要根据《铜陵市机动车和非道路移动机械排气污染防治条例》</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确保完成非道路移动机械所有人或使用人编码登记。</w:t>
      </w:r>
    </w:p>
    <w:p w14:paraId="2450168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0" w:leftChars="0" w:firstLine="217" w:firstLineChars="89"/>
        <w:jc w:val="both"/>
        <w:textAlignment w:val="auto"/>
        <w:rPr>
          <w:rFonts w:hint="default" w:ascii="仿宋" w:hAnsi="仿宋" w:eastAsia="仿宋" w:cs="仿宋"/>
          <w:color w:val="auto"/>
          <w:kern w:val="0"/>
          <w:sz w:val="24"/>
          <w:szCs w:val="24"/>
          <w:highlight w:val="none"/>
          <w:lang w:val="en-US" w:eastAsia="zh-CN" w:bidi="ar"/>
        </w:rPr>
      </w:pPr>
    </w:p>
    <w:p w14:paraId="65E253C3">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54389623">
      <w:pPr>
        <w:keepNext w:val="0"/>
        <w:keepLines w:val="0"/>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w:t>
      </w:r>
      <w:r>
        <w:rPr>
          <w:rFonts w:hint="eastAsia" w:ascii="仿宋" w:hAnsi="仿宋" w:eastAsia="仿宋" w:cs="仿宋"/>
          <w:color w:val="auto"/>
          <w:sz w:val="24"/>
          <w:szCs w:val="24"/>
          <w:highlight w:val="none"/>
          <w:lang w:eastAsia="zh-CN"/>
        </w:rPr>
        <w:t>软土固化剂；</w:t>
      </w:r>
    </w:p>
    <w:p w14:paraId="7B0116E9">
      <w:pPr>
        <w:keepNext w:val="0"/>
        <w:keepLines w:val="0"/>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7508AA0E">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57ED361">
      <w:pPr>
        <w:keepNext w:val="0"/>
        <w:keepLines w:val="0"/>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甲方将部分外销产品运输发包给乙方,由乙方承包运输,乙方负责从甲方</w:t>
      </w:r>
      <w:r>
        <w:rPr>
          <w:rFonts w:hint="eastAsia" w:ascii="仿宋" w:hAnsi="仿宋" w:eastAsia="仿宋" w:cs="仿宋"/>
          <w:color w:val="auto"/>
          <w:sz w:val="24"/>
          <w:szCs w:val="24"/>
          <w:highlight w:val="none"/>
          <w:lang w:val="en-US" w:eastAsia="zh-CN"/>
        </w:rPr>
        <w:t>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p>
    <w:p w14:paraId="02553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lang w:val="en-US" w:eastAsia="zh-CN"/>
        </w:rPr>
        <w:t>铜冠建材成品料仓</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lang w:val="en-US" w:eastAsia="zh-CN"/>
        </w:rPr>
        <w:t>终点：</w:t>
      </w:r>
      <w:r>
        <w:rPr>
          <w:rFonts w:hint="eastAsia" w:ascii="仿宋" w:hAnsi="仿宋" w:eastAsia="仿宋" w:cs="仿宋"/>
          <w:color w:val="auto"/>
          <w:sz w:val="24"/>
          <w:szCs w:val="24"/>
          <w:highlight w:val="none"/>
          <w:u w:val="single"/>
          <w:lang w:val="en-US" w:eastAsia="zh-CN"/>
        </w:rPr>
        <w:t>安徽省芜湖市无为市陡沟镇吴家扁埂项目施工现场软土固化剂粉料仓；</w:t>
      </w:r>
    </w:p>
    <w:p w14:paraId="5DD82D63">
      <w:pPr>
        <w:keepNext w:val="0"/>
        <w:keepLines w:val="0"/>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单》予以确定,乙方根据甲方《</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的交货地点完成货物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1FBF464B">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40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37FBA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8 月 28 日至 2027 年 6 月 30 日。</w:t>
      </w:r>
    </w:p>
    <w:p w14:paraId="41B4F2C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68CE2E2C">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34185075">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00" w:lineRule="exact"/>
        <w:jc w:val="both"/>
        <w:textAlignment w:val="auto"/>
        <w:rPr>
          <w:rFonts w:hint="eastAsia" w:ascii="仿宋" w:hAnsi="仿宋" w:eastAsia="仿宋" w:cs="仿宋"/>
          <w:b/>
          <w:bCs/>
          <w:color w:val="auto"/>
          <w:sz w:val="24"/>
          <w:szCs w:val="24"/>
          <w:highlight w:val="none"/>
          <w:lang w:val="en-US" w:eastAsia="zh-CN"/>
        </w:rPr>
      </w:pPr>
    </w:p>
    <w:p w14:paraId="3C8CAD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35F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6E6B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5D92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6C7F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09E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3C07C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铜冠建材</w:t>
            </w:r>
            <w:r>
              <w:rPr>
                <w:rFonts w:hint="eastAsia" w:ascii="仿宋" w:hAnsi="仿宋" w:eastAsia="仿宋" w:cs="仿宋"/>
                <w:color w:val="auto"/>
                <w:sz w:val="24"/>
                <w:szCs w:val="24"/>
                <w:highlight w:val="none"/>
              </w:rPr>
              <w:t>成品</w:t>
            </w:r>
            <w:r>
              <w:rPr>
                <w:rFonts w:hint="eastAsia" w:ascii="仿宋" w:hAnsi="仿宋" w:eastAsia="仿宋" w:cs="仿宋"/>
                <w:color w:val="auto"/>
                <w:sz w:val="24"/>
                <w:szCs w:val="24"/>
                <w:highlight w:val="none"/>
                <w:lang w:val="en-US" w:eastAsia="zh-CN"/>
              </w:rPr>
              <w:t>料</w:t>
            </w:r>
            <w:r>
              <w:rPr>
                <w:rFonts w:hint="eastAsia" w:ascii="仿宋" w:hAnsi="仿宋" w:eastAsia="仿宋" w:cs="仿宋"/>
                <w:color w:val="auto"/>
                <w:sz w:val="24"/>
                <w:szCs w:val="24"/>
                <w:highlight w:val="none"/>
              </w:rPr>
              <w:t>仓</w:t>
            </w:r>
          </w:p>
        </w:tc>
        <w:tc>
          <w:tcPr>
            <w:tcW w:w="4156" w:type="dxa"/>
            <w:noWrap w:val="0"/>
            <w:vAlign w:val="center"/>
          </w:tcPr>
          <w:p w14:paraId="7E32C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none"/>
                <w:lang w:val="en-US" w:eastAsia="zh-CN"/>
              </w:rPr>
              <w:t>安徽省芜湖市无为市陡沟镇吴家扁埂项目施工现场软土固化剂粉料仓</w:t>
            </w:r>
          </w:p>
        </w:tc>
        <w:tc>
          <w:tcPr>
            <w:tcW w:w="2603" w:type="dxa"/>
            <w:noWrap w:val="0"/>
            <w:vAlign w:val="center"/>
          </w:tcPr>
          <w:p w14:paraId="138C7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仿宋" w:hAnsi="仿宋" w:eastAsia="仿宋" w:cs="仿宋"/>
                <w:color w:val="auto"/>
                <w:sz w:val="24"/>
                <w:szCs w:val="24"/>
                <w:highlight w:val="none"/>
              </w:rPr>
            </w:pPr>
          </w:p>
        </w:tc>
      </w:tr>
    </w:tbl>
    <w:p w14:paraId="6AC7ACC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45A967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7022EA5C">
      <w:pPr>
        <w:keepNext w:val="0"/>
        <w:keepLines w:val="0"/>
        <w:pageBreakBefore w:val="0"/>
        <w:widowControl w:val="0"/>
        <w:numPr>
          <w:ilvl w:val="0"/>
          <w:numId w:val="7"/>
        </w:numPr>
        <w:kinsoku/>
        <w:wordWrap/>
        <w:overflowPunct/>
        <w:topLinePunct w:val="0"/>
        <w:autoSpaceDE/>
        <w:autoSpaceDN/>
        <w:bidi w:val="0"/>
        <w:adjustRightInd/>
        <w:snapToGrid/>
        <w:spacing w:line="38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计量：乙方车辆进出甲方厂区时两次过磅计货物净重，在合理时间内需抵达运输终点厂区，完成全部承运货物的足额卸货，并在进出终点厂区两次过磅计货物净重。以两次磅单的较低者结算运费。</w:t>
      </w:r>
    </w:p>
    <w:p w14:paraId="444A45B4">
      <w:pPr>
        <w:keepNext w:val="0"/>
        <w:keepLines w:val="0"/>
        <w:pageBreakBefore w:val="0"/>
        <w:widowControl w:val="0"/>
        <w:numPr>
          <w:ilvl w:val="0"/>
          <w:numId w:val="7"/>
        </w:numPr>
        <w:kinsoku/>
        <w:wordWrap/>
        <w:overflowPunct/>
        <w:topLinePunct w:val="0"/>
        <w:autoSpaceDE/>
        <w:autoSpaceDN/>
        <w:bidi w:val="0"/>
        <w:adjustRightInd/>
        <w:snapToGrid/>
        <w:spacing w:line="38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销售价格赔偿损失，从乙方当月运输费中扣除。如乙方在终点厂区发现过磅数据异常并及时跟甲方进行了反馈，确定是磅秤问题，可免于赔偿；如发现异常没有及时反馈，将按标准双倍进行赔偿。</w:t>
      </w:r>
    </w:p>
    <w:p w14:paraId="3228CF3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7149CF8F">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98A46F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2、运输费支付：甲方按上月入账金额在次月支付</w:t>
      </w:r>
      <w:r>
        <w:rPr>
          <w:rFonts w:hint="eastAsia" w:ascii="仿宋" w:hAnsi="仿宋" w:eastAsia="仿宋" w:cs="仿宋"/>
          <w:color w:val="auto"/>
          <w:sz w:val="24"/>
          <w:szCs w:val="24"/>
          <w:highlight w:val="none"/>
          <w:u w:val="single"/>
          <w:lang w:val="en-US" w:eastAsia="zh-CN"/>
        </w:rPr>
        <w:t xml:space="preserve"> 70% </w:t>
      </w:r>
      <w:r>
        <w:rPr>
          <w:rFonts w:hint="eastAsia" w:ascii="仿宋" w:hAnsi="仿宋" w:eastAsia="仿宋" w:cs="仿宋"/>
          <w:color w:val="auto"/>
          <w:sz w:val="24"/>
          <w:szCs w:val="24"/>
          <w:highlight w:val="none"/>
          <w:u w:val="none"/>
          <w:lang w:val="en-US" w:eastAsia="zh-CN"/>
        </w:rPr>
        <w:t>，2027年2月10日（一周内）付至</w:t>
      </w:r>
      <w:r>
        <w:rPr>
          <w:rFonts w:hint="eastAsia" w:ascii="仿宋" w:hAnsi="仿宋" w:eastAsia="仿宋" w:cs="仿宋"/>
          <w:color w:val="auto"/>
          <w:sz w:val="24"/>
          <w:szCs w:val="24"/>
          <w:highlight w:val="none"/>
          <w:u w:val="single"/>
          <w:lang w:val="en-US" w:eastAsia="zh-CN"/>
        </w:rPr>
        <w:t xml:space="preserve"> 90% </w:t>
      </w:r>
      <w:r>
        <w:rPr>
          <w:rFonts w:hint="eastAsia" w:ascii="仿宋" w:hAnsi="仿宋" w:eastAsia="仿宋" w:cs="仿宋"/>
          <w:color w:val="auto"/>
          <w:sz w:val="24"/>
          <w:szCs w:val="24"/>
          <w:highlight w:val="none"/>
          <w:u w:val="none"/>
          <w:lang w:val="en-US" w:eastAsia="zh-CN"/>
        </w:rPr>
        <w:t>,余款2027年9月30日（一周内）付清。</w:t>
      </w:r>
    </w:p>
    <w:p w14:paraId="15FFA0DD">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0378B2C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64ABDA59">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名称：铜陵铜冠建安新型环保建材科技有限公司；</w:t>
      </w:r>
    </w:p>
    <w:p w14:paraId="237B30E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纳税人识别号：91340700090790738A；</w:t>
      </w:r>
    </w:p>
    <w:p w14:paraId="74F01C3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地址、电话：安徽省铜陵市经济技术开发区、0562-5861521；</w:t>
      </w:r>
    </w:p>
    <w:p w14:paraId="1D8AC5CC">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开户行及账号：中国银行铜陵分行179725225176。</w:t>
      </w:r>
    </w:p>
    <w:p w14:paraId="7A24A1A0">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3404B80">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D164BF0">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A02F44E">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5609E4E">
      <w:pPr>
        <w:keepNext w:val="0"/>
        <w:keepLines w:val="0"/>
        <w:pageBreakBefore w:val="0"/>
        <w:widowControl w:val="0"/>
        <w:kinsoku/>
        <w:wordWrap/>
        <w:overflowPunct/>
        <w:topLinePunct w:val="0"/>
        <w:autoSpaceDE/>
        <w:autoSpaceDN/>
        <w:bidi w:val="0"/>
        <w:adjustRightInd/>
        <w:snapToGrid/>
        <w:spacing w:line="38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74122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F77AABA">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0757036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2、甲方保证成品粉料下料管道完好。</w:t>
      </w:r>
    </w:p>
    <w:p w14:paraId="2C0DB50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3、甲方保证厂区内道路顺畅，司磅及时。</w:t>
      </w:r>
    </w:p>
    <w:p w14:paraId="2D022818">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4、甲方应</w:t>
      </w:r>
      <w:r>
        <w:rPr>
          <w:rFonts w:hint="eastAsia" w:ascii="仿宋" w:hAnsi="仿宋" w:eastAsia="仿宋" w:cs="仿宋"/>
          <w:color w:val="auto"/>
          <w:sz w:val="24"/>
          <w:szCs w:val="24"/>
          <w:highlight w:val="none"/>
          <w:lang w:val="en-US" w:eastAsia="zh-CN"/>
        </w:rPr>
        <w:t>在每天下午16:00前报送次日的配送计划，以便乙方及时安排运输车辆。</w:t>
      </w:r>
      <w:r>
        <w:rPr>
          <w:rFonts w:hint="eastAsia" w:ascii="仿宋" w:hAnsi="仿宋" w:eastAsia="仿宋" w:cs="仿宋"/>
          <w:color w:val="auto"/>
          <w:sz w:val="24"/>
          <w:szCs w:val="24"/>
          <w:highlight w:val="none"/>
        </w:rPr>
        <w:t xml:space="preserve">   </w:t>
      </w:r>
    </w:p>
    <w:p w14:paraId="45A1EA1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39D687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5BC6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6A990A2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3A9CA243">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乙方车辆必须</w:t>
      </w:r>
      <w:r>
        <w:rPr>
          <w:rFonts w:hint="eastAsia" w:ascii="仿宋" w:hAnsi="仿宋" w:eastAsia="仿宋" w:cs="仿宋"/>
          <w:color w:val="auto"/>
          <w:sz w:val="24"/>
          <w:szCs w:val="24"/>
          <w:highlight w:val="none"/>
          <w:lang w:val="en-US" w:eastAsia="zh-CN"/>
        </w:rPr>
        <w:t>在0.5</w:t>
      </w:r>
      <w:r>
        <w:rPr>
          <w:rFonts w:hint="eastAsia" w:ascii="仿宋" w:hAnsi="仿宋" w:eastAsia="仿宋" w:cs="仿宋"/>
          <w:color w:val="auto"/>
          <w:sz w:val="24"/>
          <w:szCs w:val="24"/>
          <w:highlight w:val="none"/>
        </w:rPr>
        <w:t>小时内到货场装货,杜绝拒单现象。</w:t>
      </w:r>
      <w:r>
        <w:rPr>
          <w:rFonts w:hint="eastAsia" w:ascii="仿宋" w:hAnsi="仿宋" w:eastAsia="仿宋" w:cs="仿宋"/>
          <w:b w:val="0"/>
          <w:bCs w:val="0"/>
          <w:color w:val="auto"/>
          <w:sz w:val="24"/>
          <w:szCs w:val="24"/>
          <w:highlight w:val="none"/>
        </w:rPr>
        <w:t>首次供货延误罚款1000元，</w:t>
      </w:r>
      <w:r>
        <w:rPr>
          <w:rFonts w:hint="eastAsia" w:ascii="仿宋" w:hAnsi="仿宋" w:eastAsia="仿宋" w:cs="仿宋"/>
          <w:color w:val="auto"/>
          <w:sz w:val="24"/>
          <w:szCs w:val="24"/>
          <w:highlight w:val="none"/>
        </w:rPr>
        <w:t>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3B8542B5">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、乙方在装车前应对所装货物的品种、数量等进行认真确认。装车完毕,乙方人员必须现场与甲方工作人员办理货物提货确认手续。</w:t>
      </w:r>
    </w:p>
    <w:p w14:paraId="34BA6F6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收货单位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说明</w:t>
      </w:r>
      <w:r>
        <w:rPr>
          <w:rFonts w:hint="eastAsia" w:ascii="仿宋" w:hAnsi="仿宋" w:eastAsia="仿宋" w:cs="仿宋"/>
          <w:color w:val="auto"/>
          <w:sz w:val="24"/>
          <w:szCs w:val="24"/>
          <w:highlight w:val="none"/>
        </w:rPr>
        <w:t>货物延迟原因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48BBAA2B">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收</w:t>
      </w:r>
      <w:r>
        <w:rPr>
          <w:rFonts w:hint="eastAsia" w:ascii="仿宋" w:hAnsi="仿宋" w:eastAsia="仿宋" w:cs="仿宋"/>
          <w:color w:val="auto"/>
          <w:sz w:val="24"/>
          <w:szCs w:val="24"/>
          <w:highlight w:val="none"/>
        </w:rPr>
        <w:t>货单位收货人签字确认工作。若因货物签收手续不清或无效而影响货款结算的,所造成的经济损失全部由乙方承担。</w:t>
      </w:r>
    </w:p>
    <w:p w14:paraId="3B1B0D70">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无法与购货单位对帐，给甲方造成损失的,由乙方负责全额赔偿。</w:t>
      </w:r>
    </w:p>
    <w:p w14:paraId="3222C0C0">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EA87A0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4B7D599F">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如果造成损失或甲方（含收货单位）因环保问题而受到处罚时乙方应承担全部责任并全额赔偿损失</w:t>
      </w:r>
      <w:r>
        <w:rPr>
          <w:rFonts w:hint="eastAsia" w:ascii="仿宋" w:hAnsi="仿宋" w:eastAsia="仿宋" w:cs="仿宋"/>
          <w:color w:val="auto"/>
          <w:sz w:val="24"/>
          <w:szCs w:val="24"/>
          <w:highlight w:val="none"/>
        </w:rPr>
        <w:t>。</w:t>
      </w:r>
    </w:p>
    <w:p w14:paraId="48D1F7A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53E8A53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厂区及周边区域内，受甲方管理规定约束。乙方车辆进入运输终点厂区及周边区域内，受运输终点所在单位管理规定约束。发生违规情况，按相关规定予以处罚。乙方不得以对相关管理规定不熟悉为由要求免于处罚。</w:t>
      </w:r>
    </w:p>
    <w:p w14:paraId="4C7561AC">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13、乙方运输软土固化剂，车辆必须在甲方备案。</w:t>
      </w:r>
    </w:p>
    <w:p w14:paraId="6D2C390D">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14、乙方应按时足额支付乙方职工及业务单位等第三方关联人员的工资、费用等，由此引起的账务纠纷与甲方无关。</w:t>
      </w:r>
    </w:p>
    <w:p w14:paraId="2768E23E">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15、如乙方两次拒单或延误装车影响客户充填的，甲方有权终止合同，如若出现合同终止事项，则甲方扣除100%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；如乙方不服从甲方（或甲方客户）管理，给甲方造成重大损失（5万元及以上的），甲方有权终止合同，并扣除乙方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57E13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3F69A681">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伍</w:t>
      </w:r>
      <w:r>
        <w:rPr>
          <w:rFonts w:hint="eastAsia" w:ascii="仿宋" w:hAnsi="仿宋" w:eastAsia="仿宋" w:cs="仿宋"/>
          <w:color w:val="auto"/>
          <w:sz w:val="24"/>
          <w:szCs w:val="24"/>
          <w:highlight w:val="none"/>
        </w:rPr>
        <w:t>万元整（¥</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0000.00）。</w:t>
      </w:r>
    </w:p>
    <w:p w14:paraId="20208E2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BDF62D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77B15BC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1E708A99">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3CEB4286">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397DF4D2">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603482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2612097B">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90AD037">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8"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软土固化剂运输询比采购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软土固化剂运输询比采购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0871F">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软土固化剂运输询比采购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2445">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u w:val="single"/>
      </w:rPr>
      <w:t xml:space="preserve">    </w:t>
    </w:r>
    <w:r>
      <w:rPr>
        <w:rFonts w:hint="eastAsia"/>
        <w:u w:val="single"/>
        <w:lang w:val="en-US" w:eastAsia="zh-CN"/>
      </w:rPr>
      <w:t xml:space="preserve">  软土固化剂运输询比采购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B8FC57"/>
    <w:multiLevelType w:val="singleLevel"/>
    <w:tmpl w:val="13B8FC57"/>
    <w:lvl w:ilvl="0" w:tentative="0">
      <w:start w:val="1"/>
      <w:numFmt w:val="decimal"/>
      <w:suff w:val="nothing"/>
      <w:lvlText w:val="%1、"/>
      <w:lvlJc w:val="left"/>
    </w:lvl>
  </w:abstractNum>
  <w:abstractNum w:abstractNumId="4">
    <w:nsid w:val="14A7B440"/>
    <w:multiLevelType w:val="singleLevel"/>
    <w:tmpl w:val="14A7B440"/>
    <w:lvl w:ilvl="0" w:tentative="0">
      <w:start w:val="1"/>
      <w:numFmt w:val="chineseCounting"/>
      <w:suff w:val="nothing"/>
      <w:lvlText w:val="%1、"/>
      <w:lvlJc w:val="left"/>
      <w:rPr>
        <w:rFonts w:hint="eastAsia"/>
      </w:rPr>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37ADBB"/>
    <w:multiLevelType w:val="singleLevel"/>
    <w:tmpl w:val="4637ADBB"/>
    <w:lvl w:ilvl="0" w:tentative="0">
      <w:start w:val="9"/>
      <w:numFmt w:val="chineseCounting"/>
      <w:suff w:val="nothing"/>
      <w:lvlText w:val="%1、"/>
      <w:lvlJc w:val="left"/>
      <w:rPr>
        <w:rFonts w:hint="eastAsia"/>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324B28"/>
    <w:rsid w:val="0479149D"/>
    <w:rsid w:val="04CF6EEC"/>
    <w:rsid w:val="04DC63A4"/>
    <w:rsid w:val="05103A0B"/>
    <w:rsid w:val="05393890"/>
    <w:rsid w:val="055204AE"/>
    <w:rsid w:val="059565ED"/>
    <w:rsid w:val="05BF33B5"/>
    <w:rsid w:val="05EB48F5"/>
    <w:rsid w:val="06093262"/>
    <w:rsid w:val="06587D46"/>
    <w:rsid w:val="067B36CC"/>
    <w:rsid w:val="067D01D2"/>
    <w:rsid w:val="068C3E93"/>
    <w:rsid w:val="06B01930"/>
    <w:rsid w:val="06D33870"/>
    <w:rsid w:val="07091040"/>
    <w:rsid w:val="072F12C0"/>
    <w:rsid w:val="072F220B"/>
    <w:rsid w:val="07306784"/>
    <w:rsid w:val="074958E1"/>
    <w:rsid w:val="078E12E1"/>
    <w:rsid w:val="084A3F14"/>
    <w:rsid w:val="086B7EE6"/>
    <w:rsid w:val="08ED6E6B"/>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F2A12"/>
    <w:rsid w:val="0C084B3C"/>
    <w:rsid w:val="0C3D1EB8"/>
    <w:rsid w:val="0C6241B2"/>
    <w:rsid w:val="0C742CC6"/>
    <w:rsid w:val="0D0D4903"/>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6F45AC"/>
    <w:rsid w:val="0F7A0D2D"/>
    <w:rsid w:val="0F953DB9"/>
    <w:rsid w:val="0FCD3553"/>
    <w:rsid w:val="10181623"/>
    <w:rsid w:val="10476584"/>
    <w:rsid w:val="106C38E3"/>
    <w:rsid w:val="11196324"/>
    <w:rsid w:val="11427629"/>
    <w:rsid w:val="1195471E"/>
    <w:rsid w:val="11B739DA"/>
    <w:rsid w:val="11C20769"/>
    <w:rsid w:val="11F440AB"/>
    <w:rsid w:val="12083F5F"/>
    <w:rsid w:val="122338FE"/>
    <w:rsid w:val="122F7967"/>
    <w:rsid w:val="125E4C7B"/>
    <w:rsid w:val="1286785F"/>
    <w:rsid w:val="12883761"/>
    <w:rsid w:val="12A820AD"/>
    <w:rsid w:val="12D25F7C"/>
    <w:rsid w:val="13F53078"/>
    <w:rsid w:val="149B034A"/>
    <w:rsid w:val="14AE3227"/>
    <w:rsid w:val="1500314F"/>
    <w:rsid w:val="15721970"/>
    <w:rsid w:val="15802E15"/>
    <w:rsid w:val="15C83074"/>
    <w:rsid w:val="16D01498"/>
    <w:rsid w:val="16FF7D6A"/>
    <w:rsid w:val="1715758D"/>
    <w:rsid w:val="172F68A1"/>
    <w:rsid w:val="178D16D0"/>
    <w:rsid w:val="17C837F7"/>
    <w:rsid w:val="17D86D23"/>
    <w:rsid w:val="1830291B"/>
    <w:rsid w:val="18504D21"/>
    <w:rsid w:val="187417C5"/>
    <w:rsid w:val="18AB27D8"/>
    <w:rsid w:val="18AF15FD"/>
    <w:rsid w:val="18DE057F"/>
    <w:rsid w:val="19557BFF"/>
    <w:rsid w:val="196038C1"/>
    <w:rsid w:val="198C1092"/>
    <w:rsid w:val="19CA6206"/>
    <w:rsid w:val="1A2F05AD"/>
    <w:rsid w:val="1ABC669E"/>
    <w:rsid w:val="1AE5658C"/>
    <w:rsid w:val="1B1C0EEA"/>
    <w:rsid w:val="1B7B6D63"/>
    <w:rsid w:val="1BBF797C"/>
    <w:rsid w:val="1BFB18C8"/>
    <w:rsid w:val="1C24274C"/>
    <w:rsid w:val="1C290C2C"/>
    <w:rsid w:val="1C602FB9"/>
    <w:rsid w:val="1C793157"/>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20191E9C"/>
    <w:rsid w:val="2037683E"/>
    <w:rsid w:val="20711CD8"/>
    <w:rsid w:val="209320E6"/>
    <w:rsid w:val="20B22562"/>
    <w:rsid w:val="20F57ADE"/>
    <w:rsid w:val="21820D0A"/>
    <w:rsid w:val="21A61547"/>
    <w:rsid w:val="21EF60F0"/>
    <w:rsid w:val="225C0752"/>
    <w:rsid w:val="23412FE6"/>
    <w:rsid w:val="236C49D9"/>
    <w:rsid w:val="23771391"/>
    <w:rsid w:val="237A7171"/>
    <w:rsid w:val="23FC26F5"/>
    <w:rsid w:val="24613E12"/>
    <w:rsid w:val="246E6DF4"/>
    <w:rsid w:val="24CA19B7"/>
    <w:rsid w:val="24F240EB"/>
    <w:rsid w:val="25397BCB"/>
    <w:rsid w:val="25590EC9"/>
    <w:rsid w:val="257F27A2"/>
    <w:rsid w:val="25A75E0D"/>
    <w:rsid w:val="25F34F3E"/>
    <w:rsid w:val="25F7787F"/>
    <w:rsid w:val="261A071C"/>
    <w:rsid w:val="26211AAB"/>
    <w:rsid w:val="26996894"/>
    <w:rsid w:val="26A26CEB"/>
    <w:rsid w:val="2755433D"/>
    <w:rsid w:val="27982240"/>
    <w:rsid w:val="27F95E40"/>
    <w:rsid w:val="28F6721F"/>
    <w:rsid w:val="291412D4"/>
    <w:rsid w:val="29492BAC"/>
    <w:rsid w:val="295D3061"/>
    <w:rsid w:val="29606D8E"/>
    <w:rsid w:val="297840D8"/>
    <w:rsid w:val="297E0FC2"/>
    <w:rsid w:val="299D4A4C"/>
    <w:rsid w:val="29A812EF"/>
    <w:rsid w:val="29CB211B"/>
    <w:rsid w:val="2A1902C2"/>
    <w:rsid w:val="2A9C0C1B"/>
    <w:rsid w:val="2B0D1570"/>
    <w:rsid w:val="2B532F4F"/>
    <w:rsid w:val="2BFD6B16"/>
    <w:rsid w:val="2C64541C"/>
    <w:rsid w:val="2C7C5C8D"/>
    <w:rsid w:val="2C995D0F"/>
    <w:rsid w:val="2D3E7816"/>
    <w:rsid w:val="2D6706EB"/>
    <w:rsid w:val="2D774259"/>
    <w:rsid w:val="2E187F9D"/>
    <w:rsid w:val="2E3873C6"/>
    <w:rsid w:val="2EC12D59"/>
    <w:rsid w:val="2ECE6548"/>
    <w:rsid w:val="2F1523C9"/>
    <w:rsid w:val="2F29557C"/>
    <w:rsid w:val="2F6101B9"/>
    <w:rsid w:val="2F6C023B"/>
    <w:rsid w:val="30131353"/>
    <w:rsid w:val="30293393"/>
    <w:rsid w:val="302E70B5"/>
    <w:rsid w:val="30395C43"/>
    <w:rsid w:val="303B19BB"/>
    <w:rsid w:val="306204E7"/>
    <w:rsid w:val="30C21E68"/>
    <w:rsid w:val="30D974B7"/>
    <w:rsid w:val="30E96026"/>
    <w:rsid w:val="311F3E7F"/>
    <w:rsid w:val="314948D9"/>
    <w:rsid w:val="31B9528D"/>
    <w:rsid w:val="322D17D7"/>
    <w:rsid w:val="32497901"/>
    <w:rsid w:val="325A51BE"/>
    <w:rsid w:val="3289567B"/>
    <w:rsid w:val="32BC4E50"/>
    <w:rsid w:val="331E0F20"/>
    <w:rsid w:val="333663C1"/>
    <w:rsid w:val="33482D6D"/>
    <w:rsid w:val="33703A4F"/>
    <w:rsid w:val="337445C0"/>
    <w:rsid w:val="338F274A"/>
    <w:rsid w:val="339C621D"/>
    <w:rsid w:val="33D3159C"/>
    <w:rsid w:val="34284F5F"/>
    <w:rsid w:val="345637D1"/>
    <w:rsid w:val="346848DB"/>
    <w:rsid w:val="34B7063F"/>
    <w:rsid w:val="34F52A80"/>
    <w:rsid w:val="3529097C"/>
    <w:rsid w:val="354F3A99"/>
    <w:rsid w:val="357B16F3"/>
    <w:rsid w:val="35B10923"/>
    <w:rsid w:val="36050FAB"/>
    <w:rsid w:val="36145188"/>
    <w:rsid w:val="362178A5"/>
    <w:rsid w:val="36227ADF"/>
    <w:rsid w:val="36511F38"/>
    <w:rsid w:val="367256CF"/>
    <w:rsid w:val="36CA1CEB"/>
    <w:rsid w:val="36DE1211"/>
    <w:rsid w:val="373B612C"/>
    <w:rsid w:val="37AF03D6"/>
    <w:rsid w:val="37B60ABE"/>
    <w:rsid w:val="37EE64F4"/>
    <w:rsid w:val="37FC4126"/>
    <w:rsid w:val="382E02B2"/>
    <w:rsid w:val="3872263A"/>
    <w:rsid w:val="38784692"/>
    <w:rsid w:val="38C64059"/>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1A7270"/>
    <w:rsid w:val="3C5B75D3"/>
    <w:rsid w:val="3C7823C8"/>
    <w:rsid w:val="3CB46D7D"/>
    <w:rsid w:val="3CC63F16"/>
    <w:rsid w:val="3D3A7C13"/>
    <w:rsid w:val="3D74650C"/>
    <w:rsid w:val="3DB159B2"/>
    <w:rsid w:val="3DC57BD0"/>
    <w:rsid w:val="3DCB0822"/>
    <w:rsid w:val="3DCC4487"/>
    <w:rsid w:val="3E474521"/>
    <w:rsid w:val="3EF47B3D"/>
    <w:rsid w:val="3F1F079B"/>
    <w:rsid w:val="3F2E470A"/>
    <w:rsid w:val="3F7B75DE"/>
    <w:rsid w:val="3F8D52CA"/>
    <w:rsid w:val="3F953A3C"/>
    <w:rsid w:val="3F9D61EE"/>
    <w:rsid w:val="3FCA68B7"/>
    <w:rsid w:val="40A8309D"/>
    <w:rsid w:val="40C47A67"/>
    <w:rsid w:val="41136BDE"/>
    <w:rsid w:val="412D70FE"/>
    <w:rsid w:val="414D3E27"/>
    <w:rsid w:val="41525675"/>
    <w:rsid w:val="419D4283"/>
    <w:rsid w:val="41AA074E"/>
    <w:rsid w:val="41B46B47"/>
    <w:rsid w:val="41EC6FB9"/>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1B0A05"/>
    <w:rsid w:val="4642189D"/>
    <w:rsid w:val="464949DA"/>
    <w:rsid w:val="465E02D2"/>
    <w:rsid w:val="466979AB"/>
    <w:rsid w:val="46B37FF9"/>
    <w:rsid w:val="471400CF"/>
    <w:rsid w:val="472C3839"/>
    <w:rsid w:val="475A55FB"/>
    <w:rsid w:val="47944AB8"/>
    <w:rsid w:val="48BF72F3"/>
    <w:rsid w:val="490E63A6"/>
    <w:rsid w:val="499C3073"/>
    <w:rsid w:val="499D4ACB"/>
    <w:rsid w:val="49EC0EA9"/>
    <w:rsid w:val="4A1C7E79"/>
    <w:rsid w:val="4A1E59B7"/>
    <w:rsid w:val="4AA04DE4"/>
    <w:rsid w:val="4AB368C6"/>
    <w:rsid w:val="4AC4577C"/>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902E84"/>
    <w:rsid w:val="4FA72771"/>
    <w:rsid w:val="4FD33681"/>
    <w:rsid w:val="504C2BE7"/>
    <w:rsid w:val="505446A7"/>
    <w:rsid w:val="505C17AE"/>
    <w:rsid w:val="507427B8"/>
    <w:rsid w:val="50B629DB"/>
    <w:rsid w:val="513756A7"/>
    <w:rsid w:val="516923D4"/>
    <w:rsid w:val="51750D79"/>
    <w:rsid w:val="51825669"/>
    <w:rsid w:val="5196753F"/>
    <w:rsid w:val="519A433C"/>
    <w:rsid w:val="51B50E5A"/>
    <w:rsid w:val="51F67AC6"/>
    <w:rsid w:val="52143C1E"/>
    <w:rsid w:val="52465811"/>
    <w:rsid w:val="52534714"/>
    <w:rsid w:val="526C1FF2"/>
    <w:rsid w:val="5322748C"/>
    <w:rsid w:val="53810440"/>
    <w:rsid w:val="538C532D"/>
    <w:rsid w:val="53BA6E40"/>
    <w:rsid w:val="54243352"/>
    <w:rsid w:val="54C17E31"/>
    <w:rsid w:val="5522388F"/>
    <w:rsid w:val="554830C1"/>
    <w:rsid w:val="554A6079"/>
    <w:rsid w:val="557B0928"/>
    <w:rsid w:val="561D5CBD"/>
    <w:rsid w:val="56300C76"/>
    <w:rsid w:val="563F3E8D"/>
    <w:rsid w:val="5641748B"/>
    <w:rsid w:val="56424FA2"/>
    <w:rsid w:val="56550049"/>
    <w:rsid w:val="567A4F69"/>
    <w:rsid w:val="56B4262E"/>
    <w:rsid w:val="56F75D8C"/>
    <w:rsid w:val="573963A5"/>
    <w:rsid w:val="575B631B"/>
    <w:rsid w:val="576158FB"/>
    <w:rsid w:val="579C59EC"/>
    <w:rsid w:val="57A05D18"/>
    <w:rsid w:val="57AD55DD"/>
    <w:rsid w:val="5807041D"/>
    <w:rsid w:val="583F79D3"/>
    <w:rsid w:val="58691989"/>
    <w:rsid w:val="58873140"/>
    <w:rsid w:val="58C048EF"/>
    <w:rsid w:val="58C6010C"/>
    <w:rsid w:val="58D83D2B"/>
    <w:rsid w:val="58F960F8"/>
    <w:rsid w:val="594F7761"/>
    <w:rsid w:val="59672964"/>
    <w:rsid w:val="59900C4D"/>
    <w:rsid w:val="599C0E6D"/>
    <w:rsid w:val="599C638A"/>
    <w:rsid w:val="59C935F6"/>
    <w:rsid w:val="59CC52AE"/>
    <w:rsid w:val="59EB395B"/>
    <w:rsid w:val="5A251A57"/>
    <w:rsid w:val="5A625C12"/>
    <w:rsid w:val="5A697C7E"/>
    <w:rsid w:val="5A947382"/>
    <w:rsid w:val="5A9D4E9D"/>
    <w:rsid w:val="5ABC477B"/>
    <w:rsid w:val="5AD47530"/>
    <w:rsid w:val="5B2D7FCE"/>
    <w:rsid w:val="5B301B4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1712EB"/>
    <w:rsid w:val="5F1E181C"/>
    <w:rsid w:val="5FA307D8"/>
    <w:rsid w:val="5FB567E4"/>
    <w:rsid w:val="60065292"/>
    <w:rsid w:val="601B5879"/>
    <w:rsid w:val="60A96349"/>
    <w:rsid w:val="60F035C2"/>
    <w:rsid w:val="610267D6"/>
    <w:rsid w:val="610D4DEA"/>
    <w:rsid w:val="61565DA5"/>
    <w:rsid w:val="616C0C8E"/>
    <w:rsid w:val="61AB07CC"/>
    <w:rsid w:val="61C3168D"/>
    <w:rsid w:val="61E73476"/>
    <w:rsid w:val="624F4CCE"/>
    <w:rsid w:val="626C4E3A"/>
    <w:rsid w:val="62AA63A9"/>
    <w:rsid w:val="62B53CBA"/>
    <w:rsid w:val="62DA4EE0"/>
    <w:rsid w:val="6332455D"/>
    <w:rsid w:val="63584057"/>
    <w:rsid w:val="63DD2403"/>
    <w:rsid w:val="63E45615"/>
    <w:rsid w:val="642E3C33"/>
    <w:rsid w:val="646474F6"/>
    <w:rsid w:val="649B5D41"/>
    <w:rsid w:val="65891471"/>
    <w:rsid w:val="65FE7DD6"/>
    <w:rsid w:val="66131908"/>
    <w:rsid w:val="66662DAE"/>
    <w:rsid w:val="66757ADA"/>
    <w:rsid w:val="66CB6466"/>
    <w:rsid w:val="66E03A9F"/>
    <w:rsid w:val="66F57FEB"/>
    <w:rsid w:val="672901E4"/>
    <w:rsid w:val="67445ADA"/>
    <w:rsid w:val="67624694"/>
    <w:rsid w:val="677376B1"/>
    <w:rsid w:val="67D15122"/>
    <w:rsid w:val="685968A7"/>
    <w:rsid w:val="68761B8F"/>
    <w:rsid w:val="68CF0917"/>
    <w:rsid w:val="690C1B6B"/>
    <w:rsid w:val="691E53FA"/>
    <w:rsid w:val="692549DB"/>
    <w:rsid w:val="693602C7"/>
    <w:rsid w:val="693E20EC"/>
    <w:rsid w:val="694E41F6"/>
    <w:rsid w:val="6981796A"/>
    <w:rsid w:val="69AD4D95"/>
    <w:rsid w:val="69D106BF"/>
    <w:rsid w:val="69E60D0A"/>
    <w:rsid w:val="6A315ABB"/>
    <w:rsid w:val="6A7F2C51"/>
    <w:rsid w:val="6A87598F"/>
    <w:rsid w:val="6A9A513C"/>
    <w:rsid w:val="6AB37DC4"/>
    <w:rsid w:val="6ACB3360"/>
    <w:rsid w:val="6AED777A"/>
    <w:rsid w:val="6B1F2406"/>
    <w:rsid w:val="6B302BB3"/>
    <w:rsid w:val="6B56531F"/>
    <w:rsid w:val="6B9B2799"/>
    <w:rsid w:val="6C315445"/>
    <w:rsid w:val="6C5C5C5B"/>
    <w:rsid w:val="6C717289"/>
    <w:rsid w:val="6C816FD8"/>
    <w:rsid w:val="6CC60759"/>
    <w:rsid w:val="6CD7423E"/>
    <w:rsid w:val="6CF90658"/>
    <w:rsid w:val="6D1D0187"/>
    <w:rsid w:val="6D505D9E"/>
    <w:rsid w:val="6D820EA0"/>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B74AC3"/>
    <w:rsid w:val="74C4154C"/>
    <w:rsid w:val="750D4B8A"/>
    <w:rsid w:val="75271ADB"/>
    <w:rsid w:val="75363862"/>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AFF1D23"/>
    <w:rsid w:val="7B8D7C88"/>
    <w:rsid w:val="7BE845F5"/>
    <w:rsid w:val="7C252C88"/>
    <w:rsid w:val="7C492879"/>
    <w:rsid w:val="7C7123FD"/>
    <w:rsid w:val="7C870086"/>
    <w:rsid w:val="7C9F3CAC"/>
    <w:rsid w:val="7CA53A11"/>
    <w:rsid w:val="7CC61BD9"/>
    <w:rsid w:val="7CE22FC4"/>
    <w:rsid w:val="7CF6278F"/>
    <w:rsid w:val="7CF809B2"/>
    <w:rsid w:val="7CFD6966"/>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13</Pages>
  <Words>7594</Words>
  <Characters>7906</Characters>
  <Lines>56</Lines>
  <Paragraphs>15</Paragraphs>
  <TotalTime>30</TotalTime>
  <ScaleCrop>false</ScaleCrop>
  <LinksUpToDate>false</LinksUpToDate>
  <CharactersWithSpaces>8608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Administrator</cp:lastModifiedBy>
  <cp:lastPrinted>2026-08-11T05:36:00Z</cp:lastPrinted>
  <dcterms:modified xsi:type="dcterms:W3CDTF">2026-08-13T00:59:15Z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4095DCC12FF942CE99348CB6FCDEC3EA_13</vt:lpwstr>
  </property>
  <property fmtid="{D5CDD505-2E9C-101B-9397-08002B2CF9AE}" pid="4" name="KSOTemplateDocerSaveRecord">
    <vt:lpwstr>eyJoZGlkIjoiNDY1YzE0MmUxOWE2OWQxN2QxZWNhYzFlYzUyNzI5OTYiLCJ1c2VySWQiOiIyNDU1MjI3NTkifQ==</vt:lpwstr>
  </property>
</Properties>
</file>