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2697BB23">
      <w:pPr>
        <w:jc w:val="center"/>
        <w:rPr>
          <w:rFonts w:hint="eastAsia" w:ascii="宋体" w:hAnsi="宋体" w:eastAsia="宋体" w:cs="宋体"/>
          <w:b/>
          <w:bCs/>
          <w:kern w:val="1"/>
          <w:sz w:val="40"/>
          <w:szCs w:val="40"/>
          <w:lang w:val="en-US" w:eastAsia="zh-CN"/>
        </w:rPr>
      </w:pPr>
      <w:r>
        <w:rPr>
          <w:rFonts w:hint="eastAsia" w:ascii="宋体" w:hAnsi="宋体" w:eastAsia="宋体" w:cs="宋体"/>
          <w:b/>
          <w:bCs/>
          <w:kern w:val="1"/>
          <w:sz w:val="40"/>
          <w:szCs w:val="40"/>
          <w:lang w:val="en-US" w:eastAsia="zh-CN"/>
        </w:rPr>
        <w:t>铜阳极泥处理系统升级改造扩建项目土建工程</w:t>
      </w:r>
    </w:p>
    <w:p w14:paraId="7306F1DC">
      <w:pPr>
        <w:jc w:val="center"/>
        <w:rPr>
          <w:rFonts w:hint="eastAsia" w:ascii="宋体" w:hAnsi="宋体" w:eastAsia="宋体" w:cs="宋体"/>
          <w:b/>
          <w:bCs/>
          <w:kern w:val="1"/>
          <w:sz w:val="40"/>
          <w:szCs w:val="40"/>
          <w:lang w:val="en-US" w:eastAsia="zh-CN"/>
        </w:rPr>
      </w:pPr>
      <w:r>
        <w:rPr>
          <w:rFonts w:hint="eastAsia" w:ascii="宋体" w:hAnsi="宋体" w:eastAsia="宋体" w:cs="宋体"/>
          <w:b/>
          <w:bCs/>
          <w:kern w:val="1"/>
          <w:sz w:val="40"/>
          <w:szCs w:val="40"/>
          <w:lang w:val="en-US" w:eastAsia="zh-CN"/>
        </w:rPr>
        <w:t>2#浸出工序粘土回填土方机械租赁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TGJA-JX-2025-0</w:t>
      </w:r>
      <w:r>
        <w:rPr>
          <w:rFonts w:hint="eastAsia" w:asciiTheme="minorEastAsia" w:hAnsiTheme="minorEastAsia" w:eastAsiaTheme="minorEastAsia" w:cstheme="minorEastAsia"/>
          <w:b/>
          <w:bCs/>
          <w:sz w:val="28"/>
          <w:szCs w:val="28"/>
          <w:u w:val="single"/>
          <w:lang w:val="en-US" w:eastAsia="zh-CN"/>
        </w:rPr>
        <w:t>56</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eastAsia="zh-CN"/>
        </w:rPr>
        <w:t>铜阳极泥处理系统升级改造扩建项目土建工程</w:t>
      </w:r>
      <w:r>
        <w:rPr>
          <w:rFonts w:hint="eastAsia" w:ascii="仿宋" w:hAnsi="仿宋" w:eastAsia="仿宋" w:cs="仿宋"/>
          <w:b/>
          <w:bCs/>
          <w:sz w:val="24"/>
          <w:szCs w:val="24"/>
          <w:u w:val="none"/>
          <w:lang w:val="en-US" w:eastAsia="zh-CN"/>
        </w:rPr>
        <w:t>2#浸出工序粘土回填土方机械设备租赁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eastAsia="zh-CN"/>
        </w:rPr>
        <w:t>铜阳极泥处理系统升级改造扩建项目土建工程</w:t>
      </w:r>
      <w:r>
        <w:rPr>
          <w:rFonts w:hint="eastAsia" w:ascii="仿宋" w:hAnsi="仿宋" w:eastAsia="仿宋" w:cs="仿宋"/>
          <w:sz w:val="24"/>
          <w:szCs w:val="24"/>
          <w:u w:val="single"/>
          <w:lang w:val="en-US" w:eastAsia="zh-CN"/>
        </w:rPr>
        <w:t>2#浸出工序粘土回填土方机械设备租赁（详见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bookmarkStart w:id="2" w:name="_GoBack"/>
      <w:bookmarkEnd w:id="2"/>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5、在我单位年度机械合格供应</w:t>
      </w:r>
      <w:r>
        <w:rPr>
          <w:rFonts w:hint="eastAsia" w:ascii="仿宋" w:hAnsi="仿宋" w:eastAsia="仿宋" w:cs="仿宋"/>
          <w:color w:val="auto"/>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5</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11</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eastAsia="zh-CN"/>
        </w:rPr>
        <w:t>铜阳极泥处理系统升级改造扩建项目土建工程</w:t>
      </w:r>
      <w:r>
        <w:rPr>
          <w:rFonts w:hint="eastAsia" w:ascii="仿宋" w:hAnsi="仿宋" w:eastAsia="仿宋" w:cs="仿宋"/>
          <w:sz w:val="24"/>
          <w:szCs w:val="24"/>
          <w:lang w:val="en-US" w:eastAsia="zh-CN"/>
        </w:rPr>
        <w:t>2#浸出工序粘土回填土方机械设备租赁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铜陵市西湖二路金冠铜业分公司内</w:t>
      </w:r>
    </w:p>
    <w:p w14:paraId="1A9172FE">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）工程内容：取土点</w:t>
      </w:r>
      <w:r>
        <w:rPr>
          <w:rFonts w:hint="eastAsia" w:ascii="仿宋" w:hAnsi="仿宋" w:eastAsia="仿宋" w:cs="仿宋"/>
          <w:sz w:val="24"/>
          <w:szCs w:val="24"/>
          <w:lang w:val="en-US" w:eastAsia="zh-CN"/>
        </w:rPr>
        <w:t>取土、土方运输至现场、现场基坑填土夯实</w:t>
      </w:r>
      <w:r>
        <w:rPr>
          <w:rFonts w:hint="eastAsia" w:ascii="仿宋" w:hAnsi="仿宋" w:eastAsia="仿宋" w:cs="仿宋"/>
          <w:sz w:val="24"/>
          <w:szCs w:val="24"/>
          <w:lang w:eastAsia="zh-CN"/>
        </w:rPr>
        <w:t>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2个月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D4F255B">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5BA73162">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577B24DF">
      <w:pPr>
        <w:spacing w:line="360" w:lineRule="auto"/>
        <w:jc w:val="center"/>
        <w:rPr>
          <w:rFonts w:hint="eastAsia" w:ascii="仿宋" w:hAnsi="仿宋" w:eastAsia="仿宋" w:cs="仿宋"/>
          <w:b/>
          <w:sz w:val="24"/>
          <w:szCs w:val="24"/>
        </w:rPr>
      </w:pPr>
    </w:p>
    <w:p w14:paraId="5DDB4359">
      <w:pPr>
        <w:spacing w:line="360" w:lineRule="auto"/>
        <w:jc w:val="center"/>
        <w:rPr>
          <w:rFonts w:hint="eastAsia" w:ascii="仿宋" w:hAnsi="仿宋" w:eastAsia="仿宋" w:cs="仿宋"/>
          <w:b/>
          <w:sz w:val="24"/>
          <w:szCs w:val="24"/>
        </w:rPr>
      </w:pPr>
    </w:p>
    <w:p w14:paraId="29FD8BC6">
      <w:pPr>
        <w:spacing w:line="360" w:lineRule="auto"/>
        <w:jc w:val="center"/>
        <w:rPr>
          <w:rFonts w:hint="eastAsia" w:ascii="仿宋" w:hAnsi="仿宋" w:eastAsia="仿宋" w:cs="仿宋"/>
          <w:b/>
          <w:sz w:val="24"/>
          <w:szCs w:val="24"/>
        </w:rPr>
      </w:pPr>
    </w:p>
    <w:p w14:paraId="771E5757">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铜阳极泥处理系统升级改造扩建项目土建工程-2#浸出工序粘土回填土方机械租赁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TGJA-JX-2025-056</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98"/>
        <w:gridCol w:w="748"/>
        <w:gridCol w:w="3520"/>
        <w:gridCol w:w="587"/>
        <w:gridCol w:w="1031"/>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98"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748"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520"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587"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98" w:type="dxa"/>
            <w:vMerge w:val="continue"/>
            <w:noWrap w:val="0"/>
            <w:vAlign w:val="center"/>
          </w:tcPr>
          <w:p w14:paraId="785F4B5A">
            <w:pPr>
              <w:jc w:val="center"/>
              <w:rPr>
                <w:rFonts w:hint="eastAsia" w:ascii="仿宋" w:hAnsi="仿宋" w:eastAsia="仿宋" w:cs="仿宋"/>
                <w:b/>
                <w:sz w:val="24"/>
                <w:szCs w:val="24"/>
                <w:lang w:eastAsia="zh-CN"/>
              </w:rPr>
            </w:pPr>
          </w:p>
        </w:tc>
        <w:tc>
          <w:tcPr>
            <w:tcW w:w="748" w:type="dxa"/>
            <w:vMerge w:val="continue"/>
            <w:noWrap w:val="0"/>
            <w:vAlign w:val="center"/>
          </w:tcPr>
          <w:p w14:paraId="4407F581">
            <w:pPr>
              <w:jc w:val="center"/>
              <w:rPr>
                <w:rFonts w:hint="eastAsia" w:ascii="仿宋" w:hAnsi="仿宋" w:eastAsia="仿宋" w:cs="仿宋"/>
                <w:b/>
                <w:sz w:val="24"/>
                <w:szCs w:val="24"/>
                <w:lang w:eastAsia="zh-CN"/>
              </w:rPr>
            </w:pPr>
          </w:p>
        </w:tc>
        <w:tc>
          <w:tcPr>
            <w:tcW w:w="3520" w:type="dxa"/>
            <w:vMerge w:val="continue"/>
            <w:noWrap w:val="0"/>
            <w:vAlign w:val="center"/>
          </w:tcPr>
          <w:p w14:paraId="246FD107">
            <w:pPr>
              <w:jc w:val="center"/>
              <w:rPr>
                <w:rFonts w:hint="eastAsia" w:ascii="仿宋" w:hAnsi="仿宋" w:eastAsia="仿宋" w:cs="仿宋"/>
                <w:b/>
                <w:sz w:val="24"/>
                <w:szCs w:val="24"/>
              </w:rPr>
            </w:pPr>
          </w:p>
        </w:tc>
        <w:tc>
          <w:tcPr>
            <w:tcW w:w="587" w:type="dxa"/>
            <w:vMerge w:val="continue"/>
            <w:noWrap w:val="0"/>
            <w:vAlign w:val="center"/>
          </w:tcPr>
          <w:p w14:paraId="72EDC809">
            <w:pPr>
              <w:jc w:val="center"/>
              <w:rPr>
                <w:rFonts w:hint="eastAsia" w:ascii="仿宋" w:hAnsi="仿宋" w:eastAsia="仿宋" w:cs="仿宋"/>
                <w:b/>
                <w:sz w:val="24"/>
                <w:szCs w:val="24"/>
              </w:rPr>
            </w:pPr>
          </w:p>
        </w:tc>
        <w:tc>
          <w:tcPr>
            <w:tcW w:w="1031"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0740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702" w:type="dxa"/>
            <w:noWrap w:val="0"/>
            <w:vAlign w:val="center"/>
          </w:tcPr>
          <w:p w14:paraId="521C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598" w:type="dxa"/>
            <w:shd w:val="clear" w:color="auto" w:fill="auto"/>
            <w:noWrap w:val="0"/>
            <w:vAlign w:val="center"/>
          </w:tcPr>
          <w:p w14:paraId="75C8C22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挖掘机、环保自卸汽车及压路机</w:t>
            </w:r>
          </w:p>
        </w:tc>
        <w:tc>
          <w:tcPr>
            <w:tcW w:w="748" w:type="dxa"/>
            <w:shd w:val="clear" w:color="auto" w:fill="auto"/>
            <w:noWrap w:val="0"/>
            <w:vAlign w:val="center"/>
          </w:tcPr>
          <w:p w14:paraId="659AF173">
            <w:pPr>
              <w:keepNext w:val="0"/>
              <w:keepLines w:val="0"/>
              <w:widowControl/>
              <w:suppressLineNumbers w:val="0"/>
              <w:jc w:val="center"/>
              <w:textAlignment w:val="center"/>
              <w:rPr>
                <w:rFonts w:hint="eastAsia" w:ascii="Times New Roman" w:hAnsi="Times New Roman" w:eastAsia="宋体" w:cs="Times New Roman"/>
                <w:i w:val="0"/>
                <w:iCs w:val="0"/>
                <w:color w:val="FF0000"/>
                <w:kern w:val="0"/>
                <w:sz w:val="20"/>
                <w:szCs w:val="20"/>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综合</w:t>
            </w:r>
          </w:p>
        </w:tc>
        <w:tc>
          <w:tcPr>
            <w:tcW w:w="3520" w:type="dxa"/>
            <w:shd w:val="clear" w:color="auto" w:fill="auto"/>
            <w:noWrap w:val="0"/>
            <w:vAlign w:val="center"/>
          </w:tcPr>
          <w:p w14:paraId="3B5CDED4">
            <w:pPr>
              <w:numPr>
                <w:ilvl w:val="0"/>
                <w:numId w:val="0"/>
              </w:numPr>
              <w:ind w:left="0" w:leftChars="0"/>
              <w:jc w:val="left"/>
              <w:rPr>
                <w:rFonts w:hint="default" w:eastAsia="宋体"/>
                <w:sz w:val="22"/>
                <w:szCs w:val="22"/>
                <w:lang w:val="en-US" w:eastAsia="zh-CN"/>
              </w:rPr>
            </w:pPr>
            <w:r>
              <w:rPr>
                <w:rFonts w:hint="eastAsia" w:ascii="Calibri" w:hAnsi="Calibri" w:eastAsia="宋体" w:cs="Times New Roman"/>
                <w:kern w:val="2"/>
                <w:sz w:val="22"/>
                <w:szCs w:val="22"/>
                <w:lang w:val="en-US" w:eastAsia="zh-CN" w:bidi="ar-SA"/>
              </w:rPr>
              <w:t>1、</w:t>
            </w:r>
            <w:r>
              <w:rPr>
                <w:rFonts w:hint="eastAsia" w:eastAsia="宋体"/>
                <w:sz w:val="22"/>
                <w:szCs w:val="22"/>
                <w:lang w:val="en-US" w:eastAsia="zh-CN"/>
              </w:rPr>
              <w:t>取土点取土；</w:t>
            </w:r>
          </w:p>
          <w:p w14:paraId="7133FA67">
            <w:pPr>
              <w:numPr>
                <w:ilvl w:val="0"/>
                <w:numId w:val="0"/>
              </w:numPr>
              <w:ind w:left="0" w:leftChars="0"/>
              <w:jc w:val="left"/>
              <w:rPr>
                <w:rFonts w:hint="default" w:eastAsia="宋体"/>
                <w:sz w:val="22"/>
                <w:szCs w:val="22"/>
                <w:lang w:val="en-US" w:eastAsia="zh-CN"/>
              </w:rPr>
            </w:pPr>
            <w:r>
              <w:rPr>
                <w:rFonts w:hint="default" w:ascii="Calibri" w:hAnsi="Calibri" w:eastAsia="宋体" w:cs="Times New Roman"/>
                <w:kern w:val="2"/>
                <w:sz w:val="22"/>
                <w:szCs w:val="22"/>
                <w:lang w:val="en-US" w:eastAsia="zh-CN" w:bidi="ar-SA"/>
              </w:rPr>
              <w:t>2、</w:t>
            </w:r>
            <w:r>
              <w:rPr>
                <w:rFonts w:hint="eastAsia" w:eastAsia="宋体"/>
                <w:sz w:val="22"/>
                <w:szCs w:val="22"/>
                <w:lang w:val="en-US" w:eastAsia="zh-CN"/>
              </w:rPr>
              <w:t>土方开挖装车；</w:t>
            </w:r>
          </w:p>
          <w:p w14:paraId="35F2F613">
            <w:pPr>
              <w:numPr>
                <w:ilvl w:val="0"/>
                <w:numId w:val="0"/>
              </w:numPr>
              <w:ind w:left="0" w:leftChars="0"/>
              <w:jc w:val="left"/>
              <w:rPr>
                <w:rFonts w:hint="default" w:eastAsia="宋体"/>
                <w:sz w:val="22"/>
                <w:szCs w:val="22"/>
                <w:lang w:val="en-US" w:eastAsia="zh-CN"/>
              </w:rPr>
            </w:pPr>
            <w:r>
              <w:rPr>
                <w:rFonts w:hint="default" w:ascii="Calibri" w:hAnsi="Calibri" w:eastAsia="宋体" w:cs="Times New Roman"/>
                <w:kern w:val="2"/>
                <w:sz w:val="22"/>
                <w:szCs w:val="22"/>
                <w:lang w:val="en-US" w:eastAsia="zh-CN" w:bidi="ar-SA"/>
              </w:rPr>
              <w:t>3、</w:t>
            </w:r>
            <w:r>
              <w:rPr>
                <w:rFonts w:hint="eastAsia" w:eastAsia="宋体"/>
                <w:sz w:val="22"/>
                <w:szCs w:val="22"/>
                <w:lang w:val="en-US" w:eastAsia="zh-CN"/>
              </w:rPr>
              <w:t>土方运输至现场，运距25km；</w:t>
            </w:r>
          </w:p>
          <w:p w14:paraId="2836C92A">
            <w:pPr>
              <w:numPr>
                <w:ilvl w:val="0"/>
                <w:numId w:val="0"/>
              </w:numPr>
              <w:ind w:left="0" w:leftChars="0" w:firstLine="0" w:firstLineChars="0"/>
              <w:jc w:val="left"/>
              <w:rPr>
                <w:rFonts w:hint="eastAsia" w:ascii="Times New Roman" w:hAnsi="Times New Roman" w:eastAsia="宋体" w:cs="Times New Roman"/>
                <w:i w:val="0"/>
                <w:iCs w:val="0"/>
                <w:color w:val="000000"/>
                <w:kern w:val="0"/>
                <w:sz w:val="20"/>
                <w:szCs w:val="20"/>
                <w:u w:val="none"/>
                <w:lang w:val="en-US" w:eastAsia="zh-CN" w:bidi="ar"/>
              </w:rPr>
            </w:pPr>
            <w:r>
              <w:rPr>
                <w:rFonts w:hint="eastAsia" w:eastAsia="宋体"/>
                <w:sz w:val="22"/>
                <w:szCs w:val="22"/>
                <w:lang w:val="en-US" w:eastAsia="zh-CN"/>
              </w:rPr>
              <w:t>4、现场基坑土方回填并分层夯实。</w:t>
            </w:r>
          </w:p>
        </w:tc>
        <w:tc>
          <w:tcPr>
            <w:tcW w:w="587" w:type="dxa"/>
            <w:shd w:val="clear" w:color="auto" w:fill="auto"/>
            <w:noWrap w:val="0"/>
            <w:vAlign w:val="center"/>
          </w:tcPr>
          <w:p w14:paraId="4562503B">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sz w:val="24"/>
                <w:szCs w:val="24"/>
                <w:lang w:val="en-US" w:eastAsia="zh-CN"/>
              </w:rPr>
              <w:t>m</w:t>
            </w:r>
            <w:r>
              <w:rPr>
                <w:rFonts w:hint="eastAsia"/>
                <w:sz w:val="24"/>
                <w:szCs w:val="24"/>
                <w:vertAlign w:val="superscript"/>
                <w:lang w:val="en-US" w:eastAsia="zh-CN"/>
              </w:rPr>
              <w:t>3</w:t>
            </w:r>
          </w:p>
        </w:tc>
        <w:tc>
          <w:tcPr>
            <w:tcW w:w="1031" w:type="dxa"/>
            <w:shd w:val="clear" w:color="auto" w:fill="auto"/>
            <w:noWrap w:val="0"/>
            <w:vAlign w:val="center"/>
          </w:tcPr>
          <w:p w14:paraId="0C0825A2">
            <w:pPr>
              <w:jc w:val="center"/>
              <w:rPr>
                <w:rFonts w:hint="eastAsia" w:ascii="Times New Roman" w:hAnsi="Times New Roman" w:eastAsia="宋体" w:cs="Times New Roman"/>
                <w:i w:val="0"/>
                <w:iCs w:val="0"/>
                <w:color w:val="000000"/>
                <w:kern w:val="0"/>
                <w:sz w:val="20"/>
                <w:szCs w:val="20"/>
                <w:u w:val="none"/>
                <w:lang w:val="en-US" w:eastAsia="zh-CN" w:bidi="ar"/>
              </w:rPr>
            </w:pPr>
            <w:r>
              <w:rPr>
                <w:rFonts w:hint="eastAsia" w:eastAsia="宋体"/>
                <w:sz w:val="24"/>
                <w:szCs w:val="24"/>
                <w:lang w:val="en-US" w:eastAsia="zh-CN"/>
              </w:rPr>
              <w:t>2000</w:t>
            </w:r>
          </w:p>
        </w:tc>
        <w:tc>
          <w:tcPr>
            <w:tcW w:w="1712" w:type="dxa"/>
            <w:shd w:val="clear" w:color="auto" w:fill="auto"/>
            <w:noWrap w:val="0"/>
            <w:vAlign w:val="center"/>
          </w:tcPr>
          <w:p w14:paraId="3576F19A">
            <w:pPr>
              <w:keepNext w:val="0"/>
              <w:keepLines w:val="0"/>
              <w:widowControl/>
              <w:suppressLineNumbers w:val="0"/>
              <w:jc w:val="center"/>
              <w:textAlignment w:val="center"/>
              <w:rPr>
                <w:rFonts w:hint="eastAsia" w:ascii="Times New Roman" w:hAnsi="Times New Roman" w:eastAsia="宋体" w:cs="Times New Roman"/>
                <w:kern w:val="2"/>
                <w:sz w:val="20"/>
                <w:szCs w:val="20"/>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47.73元/m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1677FA1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2CB2D8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E54A5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155"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743"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95460</w:t>
            </w:r>
            <w:r>
              <w:rPr>
                <w:rFonts w:hint="eastAsia" w:ascii="Times New Roman" w:hAnsi="Times New Roman" w:cs="Times New Roman"/>
                <w:i w:val="0"/>
                <w:iCs w:val="0"/>
                <w:color w:val="000000"/>
                <w:kern w:val="0"/>
                <w:sz w:val="22"/>
                <w:szCs w:val="22"/>
                <w:u w:val="none"/>
                <w:lang w:val="en-US" w:eastAsia="zh-CN" w:bidi="ar"/>
              </w:rPr>
              <w:t>.00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C0CF52B">
      <w:pPr>
        <w:spacing w:line="240" w:lineRule="auto"/>
        <w:rPr>
          <w:rFonts w:hint="eastAsia" w:ascii="仿宋" w:hAnsi="仿宋" w:eastAsia="仿宋" w:cs="仿宋"/>
          <w:sz w:val="22"/>
          <w:szCs w:val="22"/>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spacing w:line="240" w:lineRule="auto"/>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355" w:right="1417" w:bottom="1225"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8D16D0"/>
    <w:rsid w:val="17D86D23"/>
    <w:rsid w:val="1830291B"/>
    <w:rsid w:val="187417C5"/>
    <w:rsid w:val="18AF15FD"/>
    <w:rsid w:val="198C1092"/>
    <w:rsid w:val="19CA6206"/>
    <w:rsid w:val="1A2F05AD"/>
    <w:rsid w:val="1A4E675B"/>
    <w:rsid w:val="1AE5658C"/>
    <w:rsid w:val="1B7B6D63"/>
    <w:rsid w:val="1BBF797C"/>
    <w:rsid w:val="1C602FB9"/>
    <w:rsid w:val="1C7952E5"/>
    <w:rsid w:val="1C865229"/>
    <w:rsid w:val="1D6F4C43"/>
    <w:rsid w:val="1D724C59"/>
    <w:rsid w:val="1DEE2CCA"/>
    <w:rsid w:val="20191E9C"/>
    <w:rsid w:val="2037683E"/>
    <w:rsid w:val="20F57ADE"/>
    <w:rsid w:val="20FD4E55"/>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0158F4"/>
    <w:rsid w:val="354F3A99"/>
    <w:rsid w:val="357B16F3"/>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50180815"/>
    <w:rsid w:val="504C2BE7"/>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CF8285E"/>
    <w:rsid w:val="5D2E44D2"/>
    <w:rsid w:val="5D6F64C5"/>
    <w:rsid w:val="5E4044BD"/>
    <w:rsid w:val="5ED81A2D"/>
    <w:rsid w:val="601B5879"/>
    <w:rsid w:val="609345DE"/>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0AF7EC6"/>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8966CA"/>
    <w:rsid w:val="7ECE2AEB"/>
    <w:rsid w:val="7ECE3A16"/>
    <w:rsid w:val="7EF46BE9"/>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9</Pages>
  <Words>3638</Words>
  <Characters>3980</Characters>
  <Lines>56</Lines>
  <Paragraphs>15</Paragraphs>
  <TotalTime>6</TotalTime>
  <ScaleCrop>false</ScaleCrop>
  <LinksUpToDate>false</LinksUpToDate>
  <CharactersWithSpaces>4263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2019-04-18T07:02:00Z</cp:lastPrinted>
  <dcterms:modified xsi:type="dcterms:W3CDTF">2025-11-07T07:05:07Z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