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5CE894">
      <w:pPr>
        <w:rPr>
          <w:rFonts w:hint="eastAsia" w:ascii="宋体" w:hAnsi="宋体" w:eastAsia="宋体" w:cs="宋体"/>
          <w:b/>
          <w:bCs/>
          <w:kern w:val="1"/>
          <w:sz w:val="40"/>
          <w:szCs w:val="40"/>
        </w:rPr>
      </w:pPr>
    </w:p>
    <w:p w14:paraId="7306F1DC">
      <w:pPr>
        <w:jc w:val="center"/>
        <w:rPr>
          <w:rFonts w:hint="eastAsia" w:ascii="宋体" w:hAnsi="宋体" w:eastAsia="宋体" w:cs="宋体"/>
          <w:b/>
          <w:bCs/>
          <w:kern w:val="1"/>
          <w:sz w:val="52"/>
          <w:szCs w:val="52"/>
        </w:rPr>
      </w:pPr>
      <w:r>
        <w:rPr>
          <w:rFonts w:hint="eastAsia" w:asciiTheme="minorEastAsia" w:hAnsiTheme="minorEastAsia" w:eastAsiaTheme="minorEastAsia" w:cstheme="minorEastAsia"/>
          <w:kern w:val="1"/>
          <w:sz w:val="56"/>
          <w:szCs w:val="56"/>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438F9E9D"/>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438F9E9D"/>
                  </w:txbxContent>
                </v:textbox>
              </v:shape>
            </w:pict>
          </mc:Fallback>
        </mc:AlternateContent>
      </w:r>
      <w:r>
        <w:rPr>
          <w:rFonts w:hint="eastAsia" w:ascii="宋体" w:hAnsi="宋体" w:cs="宋体"/>
          <w:b/>
          <w:bCs/>
          <w:kern w:val="1"/>
          <w:sz w:val="52"/>
          <w:szCs w:val="52"/>
          <w:lang w:eastAsia="zh-CN"/>
        </w:rPr>
        <w:t>铜陵市观山名筑室外景观工程（南区）</w:t>
      </w:r>
      <w:r>
        <w:rPr>
          <w:rFonts w:hint="eastAsia" w:ascii="宋体" w:hAnsi="宋体" w:eastAsia="宋体" w:cs="宋体"/>
          <w:b/>
          <w:bCs/>
          <w:kern w:val="1"/>
          <w:sz w:val="52"/>
          <w:szCs w:val="52"/>
        </w:rPr>
        <w:t>--机械计时</w:t>
      </w:r>
    </w:p>
    <w:p w14:paraId="0721313F">
      <w:pPr>
        <w:pStyle w:val="55"/>
        <w:ind w:left="0" w:leftChars="0" w:firstLine="0" w:firstLineChars="0"/>
        <w:jc w:val="center"/>
        <w:rPr>
          <w:rFonts w:hint="eastAsia" w:ascii="宋体" w:hAnsi="宋体" w:eastAsia="宋体" w:cs="宋体"/>
          <w:b/>
          <w:bCs/>
          <w:kern w:val="1"/>
          <w:sz w:val="48"/>
          <w:szCs w:val="48"/>
          <w:lang w:eastAsia="zh-CN"/>
        </w:rPr>
      </w:pPr>
    </w:p>
    <w:p w14:paraId="54922764">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62BCFB90">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00B8293B">
      <w:pPr>
        <w:pStyle w:val="55"/>
      </w:pPr>
    </w:p>
    <w:p w14:paraId="3386C053">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TGJA-JX-2025-0</w:t>
      </w:r>
      <w:r>
        <w:rPr>
          <w:rFonts w:hint="eastAsia" w:asciiTheme="minorEastAsia" w:hAnsiTheme="minorEastAsia" w:eastAsiaTheme="minorEastAsia" w:cstheme="minorEastAsia"/>
          <w:b/>
          <w:bCs/>
          <w:sz w:val="28"/>
          <w:szCs w:val="28"/>
          <w:u w:val="single"/>
          <w:lang w:val="en-US" w:eastAsia="zh-CN"/>
        </w:rPr>
        <w:t>40</w:t>
      </w:r>
    </w:p>
    <w:p w14:paraId="32EE43C4">
      <w:pPr>
        <w:pStyle w:val="55"/>
        <w:rPr>
          <w:rFonts w:hint="eastAsia"/>
          <w:sz w:val="28"/>
          <w:szCs w:val="28"/>
          <w:lang w:val="en-US" w:eastAsia="zh-CN"/>
        </w:rPr>
      </w:pPr>
    </w:p>
    <w:p w14:paraId="4934B582">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158ADC50">
      <w:pPr>
        <w:pStyle w:val="55"/>
        <w:rPr>
          <w:sz w:val="28"/>
          <w:szCs w:val="28"/>
        </w:rPr>
      </w:pPr>
    </w:p>
    <w:p w14:paraId="2F4F2016">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洪叶</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15715626529</w:t>
      </w:r>
      <w:r>
        <w:rPr>
          <w:rFonts w:hint="eastAsia" w:asciiTheme="minorEastAsia" w:hAnsiTheme="minorEastAsia" w:eastAsiaTheme="minorEastAsia" w:cstheme="minorEastAsia"/>
          <w:b/>
          <w:bCs/>
          <w:sz w:val="28"/>
          <w:szCs w:val="28"/>
          <w:u w:val="single"/>
        </w:rPr>
        <w:t>）</w:t>
      </w:r>
    </w:p>
    <w:p w14:paraId="133E430C">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0D7540B9">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1799004E">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u w:val="none"/>
        </w:rPr>
      </w:pPr>
      <w:r>
        <w:rPr>
          <w:rFonts w:hint="eastAsia" w:ascii="仿宋" w:hAnsi="仿宋" w:eastAsia="仿宋" w:cs="仿宋"/>
          <w:lang w:val="en-US" w:eastAsia="zh-CN"/>
        </w:rPr>
        <w:t>1、</w:t>
      </w:r>
      <w:r>
        <w:rPr>
          <w:rFonts w:hint="eastAsia" w:ascii="仿宋" w:hAnsi="仿宋" w:eastAsia="仿宋" w:cs="仿宋"/>
        </w:rPr>
        <w:t>根据公司2025年3日起实施的《铜冠建安公司采购管理办法》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lang w:val="en-US" w:eastAsia="zh-CN"/>
        </w:rPr>
        <w:t>第二建筑工程事业部</w:t>
      </w:r>
      <w:r>
        <w:rPr>
          <w:rFonts w:hint="eastAsia" w:ascii="仿宋" w:hAnsi="仿宋" w:eastAsia="仿宋" w:cs="仿宋"/>
        </w:rPr>
        <w:t>通过公司外网平台组织</w:t>
      </w:r>
      <w:r>
        <w:rPr>
          <w:rFonts w:hint="eastAsia" w:ascii="仿宋" w:hAnsi="仿宋" w:eastAsia="仿宋" w:cs="仿宋"/>
          <w:b w:val="0"/>
          <w:bCs w:val="0"/>
          <w:kern w:val="1"/>
          <w:sz w:val="24"/>
          <w:szCs w:val="24"/>
          <w:u w:val="none"/>
          <w:lang w:eastAsia="zh-CN"/>
        </w:rPr>
        <w:t>铜陵市观山名筑室外景观工程（南区）</w:t>
      </w:r>
      <w:r>
        <w:rPr>
          <w:rFonts w:hint="eastAsia" w:ascii="仿宋" w:hAnsi="仿宋" w:eastAsia="仿宋" w:cs="仿宋"/>
          <w:b w:val="0"/>
          <w:bCs w:val="0"/>
          <w:kern w:val="1"/>
          <w:sz w:val="24"/>
          <w:szCs w:val="24"/>
          <w:u w:val="none"/>
        </w:rPr>
        <w:t>--机械计时</w:t>
      </w:r>
      <w:r>
        <w:rPr>
          <w:rFonts w:hint="eastAsia" w:ascii="仿宋" w:hAnsi="仿宋" w:eastAsia="仿宋" w:cs="仿宋"/>
          <w:u w:val="none"/>
        </w:rPr>
        <w:t xml:space="preserve">询比采购。  </w:t>
      </w:r>
    </w:p>
    <w:p w14:paraId="412A0292">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2、本次</w:t>
      </w:r>
      <w:r>
        <w:rPr>
          <w:rFonts w:hint="eastAsia" w:ascii="仿宋" w:hAnsi="仿宋" w:eastAsia="仿宋" w:cs="仿宋"/>
        </w:rPr>
        <w:t xml:space="preserve">询比采购采取不见面评审。 </w:t>
      </w:r>
    </w:p>
    <w:p w14:paraId="7B64F380">
      <w:pPr>
        <w:spacing w:line="360" w:lineRule="auto"/>
        <w:jc w:val="center"/>
        <w:rPr>
          <w:rFonts w:hint="eastAsia" w:ascii="仿宋" w:hAnsi="仿宋" w:eastAsia="仿宋" w:cs="仿宋"/>
          <w:b/>
          <w:sz w:val="24"/>
          <w:szCs w:val="24"/>
        </w:rPr>
      </w:pPr>
    </w:p>
    <w:p w14:paraId="2F2EF43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03F62963">
      <w:pPr>
        <w:spacing w:line="360" w:lineRule="auto"/>
        <w:rPr>
          <w:rFonts w:hint="eastAsia" w:ascii="仿宋" w:hAnsi="仿宋" w:eastAsia="仿宋" w:cs="仿宋"/>
          <w:b/>
          <w:sz w:val="24"/>
          <w:szCs w:val="24"/>
        </w:rPr>
      </w:pPr>
    </w:p>
    <w:p w14:paraId="147D4B20">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p>
    <w:p w14:paraId="181C7DD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14:paraId="01F0F1B2">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03</w:t>
      </w:r>
      <w:r>
        <w:rPr>
          <w:rFonts w:hint="eastAsia" w:ascii="仿宋" w:hAnsi="仿宋" w:eastAsia="仿宋" w:cs="仿宋"/>
          <w:sz w:val="24"/>
          <w:szCs w:val="24"/>
          <w:u w:val="single"/>
        </w:rPr>
        <w:t>日</w:t>
      </w:r>
    </w:p>
    <w:p w14:paraId="4AA0FD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68EBB2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8F05505">
      <w:pPr>
        <w:spacing w:line="360" w:lineRule="auto"/>
        <w:ind w:firstLine="490" w:firstLineChars="200"/>
        <w:rPr>
          <w:rFonts w:hint="eastAsia" w:ascii="仿宋" w:hAnsi="仿宋" w:eastAsia="仿宋" w:cs="仿宋"/>
          <w:sz w:val="24"/>
          <w:szCs w:val="24"/>
        </w:rPr>
      </w:pPr>
    </w:p>
    <w:p w14:paraId="2277A6B5">
      <w:pPr>
        <w:spacing w:line="360" w:lineRule="auto"/>
        <w:jc w:val="center"/>
        <w:rPr>
          <w:rFonts w:hint="eastAsia" w:ascii="仿宋" w:hAnsi="仿宋" w:eastAsia="仿宋" w:cs="仿宋"/>
          <w:b/>
          <w:sz w:val="24"/>
          <w:szCs w:val="24"/>
        </w:rPr>
      </w:pPr>
    </w:p>
    <w:p w14:paraId="4D7F403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5934AD96">
      <w:pPr>
        <w:spacing w:line="360" w:lineRule="auto"/>
        <w:jc w:val="center"/>
        <w:rPr>
          <w:rFonts w:hint="eastAsia" w:ascii="仿宋" w:hAnsi="仿宋" w:eastAsia="仿宋" w:cs="仿宋"/>
          <w:b/>
          <w:sz w:val="24"/>
          <w:szCs w:val="24"/>
        </w:rPr>
      </w:pPr>
    </w:p>
    <w:p w14:paraId="7359411E">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的具体内容如下：</w:t>
      </w:r>
      <w:r>
        <w:rPr>
          <w:rFonts w:hint="eastAsia" w:ascii="仿宋" w:hAnsi="仿宋" w:eastAsia="仿宋" w:cs="仿宋"/>
          <w:b w:val="0"/>
          <w:bCs w:val="0"/>
          <w:kern w:val="1"/>
          <w:sz w:val="24"/>
          <w:szCs w:val="24"/>
          <w:u w:val="single"/>
          <w:lang w:eastAsia="zh-CN"/>
        </w:rPr>
        <w:t>铜陵市观山名筑室外景观工程（南区）</w:t>
      </w:r>
      <w:r>
        <w:rPr>
          <w:rFonts w:hint="eastAsia" w:ascii="仿宋" w:hAnsi="仿宋" w:eastAsia="仿宋" w:cs="仿宋"/>
          <w:b w:val="0"/>
          <w:bCs w:val="0"/>
          <w:kern w:val="1"/>
          <w:sz w:val="24"/>
          <w:szCs w:val="24"/>
          <w:u w:val="single"/>
        </w:rPr>
        <w:t>--机械计时</w:t>
      </w:r>
      <w:r>
        <w:rPr>
          <w:rFonts w:hint="eastAsia" w:ascii="仿宋" w:hAnsi="仿宋" w:eastAsia="仿宋" w:cs="仿宋"/>
          <w:b w:val="0"/>
          <w:bCs w:val="0"/>
          <w:color w:val="auto"/>
          <w:sz w:val="24"/>
          <w:szCs w:val="24"/>
          <w:u w:val="single"/>
          <w:lang w:val="en-US" w:eastAsia="zh-CN"/>
        </w:rPr>
        <w:t>（详见报价表）</w:t>
      </w:r>
      <w:r>
        <w:rPr>
          <w:rFonts w:hint="eastAsia" w:ascii="仿宋" w:hAnsi="仿宋" w:eastAsia="仿宋" w:cs="仿宋"/>
          <w:sz w:val="24"/>
          <w:szCs w:val="24"/>
          <w:u w:val="single"/>
        </w:rPr>
        <w:t>。</w:t>
      </w:r>
    </w:p>
    <w:p w14:paraId="385B0A4C">
      <w:pPr>
        <w:spacing w:line="360" w:lineRule="auto"/>
        <w:ind w:firstLine="490" w:firstLineChars="200"/>
        <w:jc w:val="left"/>
        <w:rPr>
          <w:rFonts w:hint="eastAsia" w:ascii="仿宋" w:hAnsi="仿宋" w:eastAsia="仿宋" w:cs="仿宋"/>
          <w:sz w:val="24"/>
          <w:szCs w:val="24"/>
        </w:rPr>
      </w:pPr>
    </w:p>
    <w:p w14:paraId="5147E9AE">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E428B6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3272C9D1">
      <w:pPr>
        <w:spacing w:line="360" w:lineRule="auto"/>
        <w:ind w:firstLine="490" w:firstLineChars="200"/>
        <w:rPr>
          <w:rFonts w:hint="eastAsia" w:ascii="仿宋" w:hAnsi="仿宋" w:eastAsia="仿宋" w:cs="仿宋"/>
          <w:sz w:val="24"/>
          <w:szCs w:val="24"/>
        </w:rPr>
      </w:pPr>
    </w:p>
    <w:p w14:paraId="0AF14B59">
      <w:pPr>
        <w:spacing w:line="360" w:lineRule="auto"/>
        <w:rPr>
          <w:rFonts w:hint="eastAsia" w:ascii="仿宋" w:hAnsi="仿宋" w:eastAsia="仿宋" w:cs="仿宋"/>
          <w:sz w:val="24"/>
          <w:szCs w:val="24"/>
          <w:lang w:eastAsia="zh-CN"/>
        </w:rPr>
      </w:pPr>
    </w:p>
    <w:p w14:paraId="21A7EBAE">
      <w:pPr>
        <w:pStyle w:val="55"/>
        <w:rPr>
          <w:rFonts w:hint="eastAsia"/>
          <w:lang w:eastAsia="zh-CN"/>
        </w:rPr>
      </w:pPr>
    </w:p>
    <w:p w14:paraId="20522F45">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6DADDF1B">
      <w:pPr>
        <w:spacing w:line="360" w:lineRule="auto"/>
        <w:jc w:val="center"/>
        <w:rPr>
          <w:rFonts w:hint="eastAsia" w:ascii="仿宋" w:hAnsi="仿宋" w:eastAsia="仿宋" w:cs="仿宋"/>
          <w:b/>
          <w:sz w:val="24"/>
          <w:szCs w:val="24"/>
        </w:rPr>
      </w:pPr>
    </w:p>
    <w:p w14:paraId="1043325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3F7FF38E">
      <w:pPr>
        <w:spacing w:line="360" w:lineRule="auto"/>
        <w:ind w:left="56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4D89F0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14:paraId="118B627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10C39C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5、在我单位年度机械合格供应入库名单内。</w:t>
      </w:r>
    </w:p>
    <w:p w14:paraId="159DB38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51B10B50">
      <w:pPr>
        <w:spacing w:line="360" w:lineRule="auto"/>
        <w:ind w:firstLine="490" w:firstLineChars="200"/>
        <w:rPr>
          <w:rFonts w:hint="eastAsia" w:ascii="仿宋" w:hAnsi="仿宋" w:eastAsia="仿宋" w:cs="仿宋"/>
          <w:sz w:val="24"/>
          <w:szCs w:val="24"/>
        </w:rPr>
      </w:pPr>
    </w:p>
    <w:p w14:paraId="23BEACB2">
      <w:pPr>
        <w:pStyle w:val="55"/>
        <w:spacing w:line="360" w:lineRule="auto"/>
        <w:rPr>
          <w:rFonts w:hint="eastAsia" w:ascii="仿宋" w:hAnsi="仿宋" w:eastAsia="仿宋" w:cs="仿宋"/>
          <w:sz w:val="24"/>
          <w:szCs w:val="24"/>
        </w:rPr>
      </w:pPr>
    </w:p>
    <w:p w14:paraId="35FF9E4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39791A83">
      <w:pPr>
        <w:spacing w:line="360" w:lineRule="auto"/>
        <w:jc w:val="center"/>
        <w:rPr>
          <w:rFonts w:hint="eastAsia" w:ascii="仿宋" w:hAnsi="仿宋" w:eastAsia="仿宋" w:cs="仿宋"/>
          <w:b/>
          <w:sz w:val="24"/>
          <w:szCs w:val="24"/>
        </w:rPr>
      </w:pPr>
    </w:p>
    <w:p w14:paraId="08AD2B6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2CFE780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637DBCED">
      <w:pPr>
        <w:spacing w:line="360" w:lineRule="auto"/>
        <w:ind w:firstLine="490" w:firstLineChars="200"/>
        <w:rPr>
          <w:rFonts w:hint="eastAsia" w:ascii="仿宋" w:hAnsi="仿宋" w:eastAsia="仿宋" w:cs="仿宋"/>
          <w:sz w:val="24"/>
          <w:szCs w:val="24"/>
        </w:rPr>
      </w:pPr>
    </w:p>
    <w:p w14:paraId="31CE38FC">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172CC1AB">
      <w:pPr>
        <w:spacing w:line="360" w:lineRule="auto"/>
        <w:jc w:val="center"/>
        <w:rPr>
          <w:rFonts w:hint="eastAsia" w:ascii="仿宋" w:hAnsi="仿宋" w:eastAsia="仿宋" w:cs="仿宋"/>
          <w:b/>
          <w:sz w:val="24"/>
          <w:szCs w:val="24"/>
        </w:rPr>
      </w:pPr>
    </w:p>
    <w:p w14:paraId="064FEA5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46F23DC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753D5CE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02</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46A1CEE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36A89A2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14:paraId="2D2833F5">
      <w:pPr>
        <w:spacing w:line="360" w:lineRule="auto"/>
        <w:rPr>
          <w:rFonts w:hint="eastAsia" w:ascii="仿宋" w:hAnsi="仿宋" w:eastAsia="仿宋" w:cs="仿宋"/>
          <w:b/>
          <w:sz w:val="24"/>
          <w:szCs w:val="24"/>
        </w:rPr>
      </w:pPr>
    </w:p>
    <w:p w14:paraId="465BDE9D">
      <w:pPr>
        <w:spacing w:line="360" w:lineRule="auto"/>
        <w:jc w:val="center"/>
        <w:rPr>
          <w:rFonts w:hint="eastAsia" w:ascii="仿宋" w:hAnsi="仿宋" w:eastAsia="仿宋" w:cs="仿宋"/>
          <w:b/>
          <w:sz w:val="24"/>
          <w:szCs w:val="24"/>
        </w:rPr>
      </w:pPr>
    </w:p>
    <w:p w14:paraId="508BEAE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469CB33D">
      <w:pPr>
        <w:spacing w:line="360" w:lineRule="auto"/>
        <w:jc w:val="center"/>
        <w:rPr>
          <w:rFonts w:hint="eastAsia" w:ascii="仿宋" w:hAnsi="仿宋" w:eastAsia="仿宋" w:cs="仿宋"/>
          <w:b/>
          <w:sz w:val="24"/>
          <w:szCs w:val="24"/>
        </w:rPr>
      </w:pPr>
    </w:p>
    <w:p w14:paraId="6AA0455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03</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7247FF9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51FD306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14:paraId="7A6A2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4EF74B4C">
      <w:pPr>
        <w:spacing w:line="360" w:lineRule="auto"/>
        <w:jc w:val="center"/>
        <w:rPr>
          <w:rFonts w:hint="eastAsia" w:ascii="仿宋" w:hAnsi="仿宋" w:eastAsia="仿宋" w:cs="仿宋"/>
          <w:b/>
          <w:sz w:val="24"/>
          <w:szCs w:val="24"/>
          <w:lang w:val="en-US" w:eastAsia="zh-CN"/>
        </w:rPr>
      </w:pPr>
    </w:p>
    <w:p w14:paraId="1021112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7DE121FA">
      <w:pPr>
        <w:spacing w:line="360" w:lineRule="auto"/>
        <w:jc w:val="center"/>
        <w:rPr>
          <w:rFonts w:hint="eastAsia" w:ascii="仿宋" w:hAnsi="仿宋" w:eastAsia="仿宋" w:cs="仿宋"/>
          <w:b/>
          <w:sz w:val="24"/>
          <w:szCs w:val="24"/>
        </w:rPr>
      </w:pPr>
    </w:p>
    <w:p w14:paraId="587805CD">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1741DF86">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sz w:val="24"/>
          <w:szCs w:val="24"/>
          <w:lang w:eastAsia="zh-CN"/>
        </w:rPr>
        <w:t>铜陵市观山名筑室外景观工程（南区）</w:t>
      </w:r>
    </w:p>
    <w:p w14:paraId="26C0026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工程地点：铜陵市长江路观山名筑小区</w:t>
      </w:r>
    </w:p>
    <w:p w14:paraId="3945128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工程内容：机械对现场土方进行开挖、回填、场地平整、土方厂区倒运、道路碾压等</w:t>
      </w:r>
    </w:p>
    <w:p w14:paraId="16B4ADD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计划工期：日历天数90天。（具体租期以建设单位安排的工作内容为准）</w:t>
      </w:r>
    </w:p>
    <w:p w14:paraId="61EC614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计价方式：固定单价</w:t>
      </w:r>
    </w:p>
    <w:p w14:paraId="1A0FEB6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260969D4">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自施工开始，铜冠建安第二建筑工程事业部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询比采购单位。）</w:t>
      </w:r>
    </w:p>
    <w:p w14:paraId="093B231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8EA4A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报价</w:t>
      </w:r>
      <w:r>
        <w:rPr>
          <w:rFonts w:hint="eastAsia" w:ascii="仿宋" w:hAnsi="仿宋" w:eastAsia="仿宋" w:cs="仿宋"/>
          <w:sz w:val="24"/>
          <w:szCs w:val="24"/>
          <w:lang w:val="en-US" w:eastAsia="zh-CN"/>
        </w:rPr>
        <w:t>默认</w:t>
      </w:r>
      <w:r>
        <w:rPr>
          <w:rFonts w:hint="eastAsia" w:ascii="仿宋" w:hAnsi="仿宋" w:eastAsia="仿宋" w:cs="仿宋"/>
          <w:sz w:val="24"/>
          <w:szCs w:val="24"/>
        </w:rPr>
        <w:t>为</w:t>
      </w:r>
      <w:r>
        <w:rPr>
          <w:rFonts w:hint="eastAsia" w:ascii="仿宋" w:hAnsi="仿宋" w:eastAsia="仿宋" w:cs="仿宋"/>
          <w:sz w:val="24"/>
          <w:szCs w:val="24"/>
          <w:lang w:val="en-US" w:eastAsia="zh-CN"/>
        </w:rPr>
        <w:t>不</w:t>
      </w:r>
      <w:r>
        <w:rPr>
          <w:rFonts w:hint="eastAsia" w:ascii="仿宋" w:hAnsi="仿宋" w:eastAsia="仿宋" w:cs="仿宋"/>
          <w:sz w:val="24"/>
          <w:szCs w:val="24"/>
        </w:rPr>
        <w:t>含税（</w:t>
      </w:r>
      <w:r>
        <w:rPr>
          <w:rFonts w:hint="eastAsia" w:ascii="仿宋" w:hAnsi="仿宋" w:eastAsia="仿宋" w:cs="仿宋"/>
          <w:sz w:val="24"/>
          <w:szCs w:val="24"/>
          <w:lang w:val="en-US" w:eastAsia="zh-CN"/>
        </w:rPr>
        <w:t>若报价含税，</w:t>
      </w:r>
      <w:r>
        <w:rPr>
          <w:rFonts w:hint="eastAsia" w:ascii="仿宋" w:hAnsi="仿宋" w:eastAsia="仿宋" w:cs="仿宋"/>
          <w:sz w:val="24"/>
          <w:szCs w:val="24"/>
        </w:rPr>
        <w:t>必须注明税率）。</w:t>
      </w:r>
    </w:p>
    <w:p w14:paraId="12C6CA8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w:t>
      </w:r>
      <w:r>
        <w:rPr>
          <w:rFonts w:hint="eastAsia" w:ascii="仿宋" w:hAnsi="仿宋" w:eastAsia="仿宋" w:cs="仿宋"/>
          <w:sz w:val="24"/>
          <w:szCs w:val="24"/>
          <w:lang w:eastAsia="zh-CN"/>
        </w:rPr>
        <w:t>供应商</w:t>
      </w:r>
      <w:r>
        <w:rPr>
          <w:rFonts w:hint="eastAsia" w:ascii="仿宋" w:hAnsi="仿宋" w:eastAsia="仿宋" w:cs="仿宋"/>
          <w:sz w:val="24"/>
          <w:szCs w:val="24"/>
        </w:rPr>
        <w:t>在报价前应仔细审阅</w:t>
      </w:r>
      <w:r>
        <w:rPr>
          <w:rFonts w:hint="eastAsia" w:ascii="仿宋" w:hAnsi="仿宋" w:eastAsia="仿宋" w:cs="仿宋"/>
          <w:sz w:val="24"/>
          <w:szCs w:val="24"/>
          <w:lang w:eastAsia="zh-CN"/>
        </w:rPr>
        <w:t>采购</w:t>
      </w:r>
      <w:r>
        <w:rPr>
          <w:rFonts w:hint="eastAsia" w:ascii="仿宋" w:hAnsi="仿宋" w:eastAsia="仿宋" w:cs="仿宋"/>
          <w:sz w:val="24"/>
          <w:szCs w:val="24"/>
        </w:rPr>
        <w:t>公告、报价表及报价说明等与此次报价相关的所有资料。报价要谨慎，一旦</w:t>
      </w:r>
      <w:r>
        <w:rPr>
          <w:rFonts w:hint="eastAsia" w:ascii="仿宋" w:hAnsi="仿宋" w:eastAsia="仿宋" w:cs="仿宋"/>
          <w:sz w:val="24"/>
          <w:szCs w:val="24"/>
          <w:lang w:eastAsia="zh-CN"/>
        </w:rPr>
        <w:t>确定为成交人</w:t>
      </w:r>
      <w:r>
        <w:rPr>
          <w:rFonts w:hint="eastAsia" w:ascii="仿宋" w:hAnsi="仿宋" w:eastAsia="仿宋" w:cs="仿宋"/>
          <w:sz w:val="24"/>
          <w:szCs w:val="24"/>
        </w:rPr>
        <w:t>，视为理解并考虑了</w:t>
      </w:r>
      <w:r>
        <w:rPr>
          <w:rFonts w:hint="eastAsia" w:ascii="仿宋" w:hAnsi="仿宋" w:eastAsia="仿宋" w:cs="仿宋"/>
          <w:sz w:val="24"/>
          <w:szCs w:val="24"/>
          <w:lang w:eastAsia="zh-CN"/>
        </w:rPr>
        <w:t>询比采购单位</w:t>
      </w:r>
      <w:r>
        <w:rPr>
          <w:rFonts w:hint="eastAsia" w:ascii="仿宋" w:hAnsi="仿宋" w:eastAsia="仿宋" w:cs="仿宋"/>
          <w:sz w:val="24"/>
          <w:szCs w:val="24"/>
        </w:rPr>
        <w:t>要求的报价，不得以任何理由变更。</w:t>
      </w:r>
    </w:p>
    <w:p w14:paraId="0721C6B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43300DD3">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24CA4B67">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630C83F2">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121BAD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6F0A7BF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3BBFA810">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6E7C42B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6BB9EDF6">
      <w:pPr>
        <w:pStyle w:val="55"/>
        <w:spacing w:line="360" w:lineRule="auto"/>
        <w:ind w:left="0" w:leftChars="0" w:firstLine="0" w:firstLineChars="0"/>
        <w:rPr>
          <w:rFonts w:hint="eastAsia" w:ascii="仿宋" w:hAnsi="仿宋" w:eastAsia="仿宋" w:cs="仿宋"/>
          <w:b/>
          <w:sz w:val="24"/>
          <w:szCs w:val="24"/>
        </w:rPr>
      </w:pPr>
    </w:p>
    <w:p w14:paraId="3A2EE6E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w:t>
      </w: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25DFE2D3">
      <w:pPr>
        <w:spacing w:line="360" w:lineRule="auto"/>
        <w:jc w:val="center"/>
        <w:rPr>
          <w:rFonts w:hint="eastAsia" w:ascii="仿宋" w:hAnsi="仿宋" w:eastAsia="仿宋" w:cs="仿宋"/>
          <w:b/>
          <w:sz w:val="24"/>
          <w:szCs w:val="24"/>
        </w:rPr>
      </w:pPr>
    </w:p>
    <w:p w14:paraId="2A3FC6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67C9427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7D04C973">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14:paraId="19B7F03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011B79E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760E9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7E92C158">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0BBEB5E3">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1F2A7F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5077638E">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31E24827">
      <w:pPr>
        <w:spacing w:line="360" w:lineRule="auto"/>
        <w:jc w:val="center"/>
        <w:rPr>
          <w:rFonts w:hint="eastAsia" w:ascii="仿宋" w:hAnsi="仿宋" w:eastAsia="仿宋" w:cs="仿宋"/>
          <w:b/>
          <w:sz w:val="24"/>
          <w:szCs w:val="24"/>
        </w:rPr>
      </w:pPr>
    </w:p>
    <w:p w14:paraId="118B6125">
      <w:pPr>
        <w:spacing w:line="360" w:lineRule="auto"/>
        <w:jc w:val="center"/>
        <w:rPr>
          <w:rFonts w:hint="eastAsia" w:ascii="仿宋" w:hAnsi="仿宋" w:eastAsia="仿宋" w:cs="仿宋"/>
          <w:b/>
          <w:sz w:val="24"/>
          <w:szCs w:val="24"/>
        </w:rPr>
      </w:pPr>
    </w:p>
    <w:p w14:paraId="66704D5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1A35BE6B">
      <w:pPr>
        <w:spacing w:line="360" w:lineRule="auto"/>
        <w:jc w:val="center"/>
        <w:rPr>
          <w:rFonts w:hint="eastAsia" w:ascii="仿宋" w:hAnsi="仿宋" w:eastAsia="仿宋" w:cs="仿宋"/>
          <w:b/>
          <w:sz w:val="24"/>
          <w:szCs w:val="24"/>
        </w:rPr>
      </w:pPr>
    </w:p>
    <w:p w14:paraId="1525A6D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204A0F55">
      <w:pPr>
        <w:spacing w:before="156" w:beforeLines="50" w:after="156" w:afterLines="50" w:line="360" w:lineRule="auto"/>
        <w:ind w:firstLine="490" w:firstLineChars="200"/>
        <w:rPr>
          <w:rFonts w:hint="eastAsia" w:ascii="仿宋" w:hAnsi="仿宋" w:eastAsia="仿宋" w:cs="仿宋"/>
          <w:sz w:val="24"/>
          <w:szCs w:val="24"/>
        </w:rPr>
      </w:pPr>
    </w:p>
    <w:p w14:paraId="2FE56E1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20AF3EBC">
      <w:pPr>
        <w:spacing w:before="156" w:beforeLines="50" w:after="156" w:afterLines="50" w:line="360" w:lineRule="auto"/>
        <w:ind w:firstLine="490" w:firstLineChars="200"/>
        <w:rPr>
          <w:rFonts w:hint="eastAsia" w:ascii="仿宋" w:hAnsi="仿宋" w:eastAsia="仿宋" w:cs="仿宋"/>
          <w:sz w:val="24"/>
          <w:szCs w:val="24"/>
        </w:rPr>
      </w:pPr>
    </w:p>
    <w:p w14:paraId="5B8F4E5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6F696459">
      <w:pPr>
        <w:spacing w:before="156" w:beforeLines="50" w:after="156" w:afterLines="50" w:line="360" w:lineRule="auto"/>
        <w:ind w:firstLine="490" w:firstLineChars="200"/>
        <w:rPr>
          <w:rFonts w:hint="eastAsia" w:ascii="仿宋" w:hAnsi="仿宋" w:eastAsia="仿宋" w:cs="仿宋"/>
          <w:sz w:val="24"/>
          <w:szCs w:val="24"/>
        </w:rPr>
      </w:pPr>
    </w:p>
    <w:p w14:paraId="7C1B267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620B763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5A5F62B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5CCF5B34">
      <w:pPr>
        <w:spacing w:before="156" w:beforeLines="50" w:after="156" w:afterLines="50" w:line="360" w:lineRule="auto"/>
        <w:rPr>
          <w:rFonts w:hint="eastAsia" w:ascii="仿宋" w:hAnsi="仿宋" w:eastAsia="仿宋" w:cs="仿宋"/>
          <w:sz w:val="24"/>
          <w:szCs w:val="24"/>
        </w:rPr>
      </w:pPr>
    </w:p>
    <w:p w14:paraId="4BDE4154">
      <w:pPr>
        <w:spacing w:before="156" w:beforeLines="50" w:after="156" w:afterLines="50" w:line="360" w:lineRule="auto"/>
        <w:ind w:firstLine="4165" w:firstLineChars="1700"/>
        <w:rPr>
          <w:rFonts w:hint="eastAsia" w:ascii="仿宋" w:hAnsi="仿宋" w:eastAsia="仿宋" w:cs="仿宋"/>
          <w:sz w:val="24"/>
          <w:szCs w:val="24"/>
        </w:rPr>
      </w:pPr>
    </w:p>
    <w:p w14:paraId="6916A9A6">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F00997C">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1CC03C91">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7F42219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59B3849C">
      <w:pPr>
        <w:spacing w:line="360" w:lineRule="auto"/>
        <w:ind w:firstLine="490" w:firstLineChars="200"/>
        <w:rPr>
          <w:rFonts w:hint="eastAsia" w:ascii="仿宋" w:hAnsi="仿宋" w:eastAsia="仿宋" w:cs="仿宋"/>
          <w:sz w:val="24"/>
          <w:szCs w:val="24"/>
        </w:rPr>
      </w:pPr>
    </w:p>
    <w:p w14:paraId="383E8DD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002E40A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1AEB337">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72A39AD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61B39A1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45C6BAA7">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7B57DD6B">
      <w:pPr>
        <w:spacing w:line="360" w:lineRule="auto"/>
        <w:ind w:firstLine="490" w:firstLineChars="200"/>
        <w:rPr>
          <w:rFonts w:hint="eastAsia" w:ascii="仿宋" w:hAnsi="仿宋" w:eastAsia="仿宋" w:cs="仿宋"/>
          <w:color w:val="000000"/>
          <w:sz w:val="24"/>
          <w:szCs w:val="24"/>
          <w:u w:val="single"/>
        </w:rPr>
      </w:pPr>
    </w:p>
    <w:p w14:paraId="783EDA6C">
      <w:pPr>
        <w:spacing w:line="360" w:lineRule="auto"/>
        <w:ind w:firstLine="4655" w:firstLineChars="1900"/>
        <w:rPr>
          <w:rFonts w:hint="eastAsia" w:ascii="仿宋" w:hAnsi="仿宋" w:eastAsia="仿宋" w:cs="仿宋"/>
          <w:sz w:val="24"/>
          <w:szCs w:val="24"/>
        </w:rPr>
      </w:pPr>
    </w:p>
    <w:p w14:paraId="55BC1C7A">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403EDDE">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3244D079">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2BAEFFAF">
      <w:pPr>
        <w:pStyle w:val="55"/>
        <w:rPr>
          <w:rFonts w:hint="eastAsia" w:ascii="仿宋" w:hAnsi="仿宋" w:eastAsia="仿宋" w:cs="仿宋"/>
          <w:sz w:val="24"/>
          <w:szCs w:val="24"/>
        </w:rPr>
      </w:pPr>
    </w:p>
    <w:p w14:paraId="693A6FB6">
      <w:pPr>
        <w:pStyle w:val="55"/>
        <w:rPr>
          <w:rFonts w:hint="eastAsia" w:ascii="仿宋" w:hAnsi="仿宋" w:eastAsia="仿宋" w:cs="仿宋"/>
          <w:sz w:val="24"/>
          <w:szCs w:val="24"/>
        </w:rPr>
      </w:pPr>
    </w:p>
    <w:p w14:paraId="193DBB7A">
      <w:pPr>
        <w:pStyle w:val="55"/>
        <w:rPr>
          <w:rFonts w:hint="eastAsia" w:ascii="仿宋" w:hAnsi="仿宋" w:eastAsia="仿宋" w:cs="仿宋"/>
          <w:sz w:val="24"/>
          <w:szCs w:val="24"/>
        </w:rPr>
      </w:pPr>
    </w:p>
    <w:p w14:paraId="63DCA8C7">
      <w:pPr>
        <w:pStyle w:val="55"/>
        <w:rPr>
          <w:rFonts w:hint="eastAsia" w:ascii="仿宋" w:hAnsi="仿宋" w:eastAsia="仿宋" w:cs="仿宋"/>
          <w:sz w:val="24"/>
          <w:szCs w:val="24"/>
        </w:rPr>
      </w:pPr>
    </w:p>
    <w:p w14:paraId="281FD339">
      <w:pPr>
        <w:pStyle w:val="55"/>
        <w:rPr>
          <w:rFonts w:hint="eastAsia" w:ascii="仿宋" w:hAnsi="仿宋" w:eastAsia="仿宋" w:cs="仿宋"/>
          <w:sz w:val="24"/>
          <w:szCs w:val="24"/>
        </w:rPr>
      </w:pPr>
    </w:p>
    <w:p w14:paraId="6B801E76">
      <w:pPr>
        <w:pStyle w:val="55"/>
        <w:rPr>
          <w:rFonts w:hint="eastAsia" w:ascii="仿宋" w:hAnsi="仿宋" w:eastAsia="仿宋" w:cs="仿宋"/>
          <w:sz w:val="24"/>
          <w:szCs w:val="24"/>
        </w:rPr>
      </w:pPr>
    </w:p>
    <w:p w14:paraId="62FDDD60">
      <w:pPr>
        <w:pStyle w:val="55"/>
        <w:rPr>
          <w:rFonts w:hint="eastAsia" w:ascii="仿宋" w:hAnsi="仿宋" w:eastAsia="仿宋" w:cs="仿宋"/>
          <w:sz w:val="24"/>
          <w:szCs w:val="24"/>
        </w:rPr>
      </w:pPr>
    </w:p>
    <w:p w14:paraId="4F052682">
      <w:pPr>
        <w:pStyle w:val="55"/>
        <w:rPr>
          <w:rFonts w:hint="eastAsia" w:ascii="仿宋" w:hAnsi="仿宋" w:eastAsia="仿宋" w:cs="仿宋"/>
          <w:sz w:val="24"/>
          <w:szCs w:val="24"/>
        </w:rPr>
      </w:pPr>
    </w:p>
    <w:p w14:paraId="1C1526DF">
      <w:pPr>
        <w:pStyle w:val="55"/>
        <w:rPr>
          <w:rFonts w:hint="eastAsia" w:ascii="仿宋" w:hAnsi="仿宋" w:eastAsia="仿宋" w:cs="仿宋"/>
          <w:sz w:val="24"/>
          <w:szCs w:val="24"/>
        </w:rPr>
      </w:pPr>
    </w:p>
    <w:p w14:paraId="7450D586">
      <w:pPr>
        <w:pStyle w:val="55"/>
        <w:rPr>
          <w:rFonts w:hint="eastAsia" w:ascii="仿宋" w:hAnsi="仿宋" w:eastAsia="仿宋" w:cs="仿宋"/>
          <w:sz w:val="24"/>
          <w:szCs w:val="24"/>
        </w:rPr>
      </w:pPr>
    </w:p>
    <w:p w14:paraId="24747EB2">
      <w:pPr>
        <w:pStyle w:val="55"/>
        <w:rPr>
          <w:rFonts w:hint="eastAsia" w:ascii="仿宋" w:hAnsi="仿宋" w:eastAsia="仿宋" w:cs="仿宋"/>
          <w:sz w:val="24"/>
          <w:szCs w:val="24"/>
        </w:rPr>
      </w:pPr>
    </w:p>
    <w:p w14:paraId="38094C87">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18096585">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铜陵市观山名筑室外景观工程（南区）--机械计时询比采购 </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w:t>
      </w:r>
      <w:r>
        <w:rPr>
          <w:rFonts w:hint="eastAsia" w:ascii="仿宋" w:hAnsi="仿宋" w:eastAsia="仿宋" w:cs="仿宋"/>
          <w:b/>
          <w:bCs/>
          <w:sz w:val="28"/>
          <w:szCs w:val="28"/>
          <w:lang w:val="en-US" w:eastAsia="zh-CN" w:bidi="ar"/>
        </w:rPr>
        <w:t xml:space="preserve">    </w:t>
      </w:r>
    </w:p>
    <w:p w14:paraId="4D452560">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TGJA-JX-2025-040</w:t>
      </w:r>
      <w:bookmarkStart w:id="2" w:name="_GoBack"/>
      <w:bookmarkEnd w:id="2"/>
    </w:p>
    <w:tbl>
      <w:tblPr>
        <w:tblStyle w:val="45"/>
        <w:tblW w:w="14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287"/>
        <w:gridCol w:w="1643"/>
        <w:gridCol w:w="2464"/>
        <w:gridCol w:w="1000"/>
        <w:gridCol w:w="1090"/>
        <w:gridCol w:w="1712"/>
        <w:gridCol w:w="1500"/>
        <w:gridCol w:w="1746"/>
        <w:gridCol w:w="1595"/>
      </w:tblGrid>
      <w:tr w14:paraId="249D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exact"/>
          <w:jc w:val="center"/>
        </w:trPr>
        <w:tc>
          <w:tcPr>
            <w:tcW w:w="702" w:type="dxa"/>
            <w:vMerge w:val="restart"/>
            <w:noWrap w:val="0"/>
            <w:vAlign w:val="center"/>
          </w:tcPr>
          <w:p w14:paraId="797E2260">
            <w:pPr>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287" w:type="dxa"/>
            <w:vMerge w:val="restart"/>
            <w:noWrap w:val="0"/>
            <w:vAlign w:val="center"/>
          </w:tcPr>
          <w:p w14:paraId="31F1C35A">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643" w:type="dxa"/>
            <w:vMerge w:val="restart"/>
            <w:noWrap w:val="0"/>
            <w:vAlign w:val="center"/>
          </w:tcPr>
          <w:p w14:paraId="13CC2193">
            <w:pPr>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2464" w:type="dxa"/>
            <w:vMerge w:val="restart"/>
            <w:noWrap w:val="0"/>
            <w:vAlign w:val="center"/>
          </w:tcPr>
          <w:p w14:paraId="618B648E">
            <w:pPr>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1000" w:type="dxa"/>
            <w:vMerge w:val="restart"/>
            <w:noWrap w:val="0"/>
            <w:vAlign w:val="center"/>
          </w:tcPr>
          <w:p w14:paraId="78CF4FC2">
            <w:pPr>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090" w:type="dxa"/>
            <w:vMerge w:val="restart"/>
            <w:noWrap w:val="0"/>
            <w:vAlign w:val="center"/>
          </w:tcPr>
          <w:p w14:paraId="5E35EA40">
            <w:pPr>
              <w:jc w:val="center"/>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数量</w:t>
            </w:r>
          </w:p>
        </w:tc>
        <w:tc>
          <w:tcPr>
            <w:tcW w:w="1712" w:type="dxa"/>
            <w:vMerge w:val="restart"/>
            <w:noWrap w:val="0"/>
            <w:vAlign w:val="center"/>
          </w:tcPr>
          <w:p w14:paraId="695065BF">
            <w:pPr>
              <w:jc w:val="center"/>
              <w:rPr>
                <w:rFonts w:hint="eastAsia" w:ascii="仿宋" w:hAnsi="仿宋" w:eastAsia="仿宋" w:cs="仿宋"/>
                <w:b/>
                <w:sz w:val="24"/>
                <w:szCs w:val="24"/>
              </w:rPr>
            </w:pPr>
            <w:r>
              <w:rPr>
                <w:rFonts w:hint="eastAsia" w:ascii="仿宋" w:hAnsi="仿宋" w:eastAsia="仿宋" w:cs="仿宋"/>
                <w:b/>
                <w:bCs w:val="0"/>
                <w:sz w:val="24"/>
                <w:szCs w:val="24"/>
                <w:lang w:val="en-US" w:eastAsia="zh-CN"/>
              </w:rPr>
              <w:t>公司指导价</w:t>
            </w:r>
          </w:p>
          <w:p w14:paraId="7C3353D2">
            <w:pPr>
              <w:jc w:val="center"/>
              <w:rPr>
                <w:rFonts w:hint="eastAsia" w:ascii="仿宋" w:hAnsi="仿宋" w:eastAsia="仿宋" w:cs="仿宋"/>
                <w:b/>
                <w:sz w:val="24"/>
                <w:szCs w:val="24"/>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3246" w:type="dxa"/>
            <w:gridSpan w:val="2"/>
            <w:noWrap w:val="0"/>
            <w:vAlign w:val="center"/>
          </w:tcPr>
          <w:p w14:paraId="572AEBFB">
            <w:pPr>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报价（</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595" w:type="dxa"/>
            <w:vMerge w:val="restart"/>
            <w:noWrap w:val="0"/>
            <w:vAlign w:val="center"/>
          </w:tcPr>
          <w:p w14:paraId="2AF72DE7">
            <w:pPr>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4BE8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exact"/>
          <w:jc w:val="center"/>
        </w:trPr>
        <w:tc>
          <w:tcPr>
            <w:tcW w:w="702" w:type="dxa"/>
            <w:vMerge w:val="continue"/>
            <w:noWrap w:val="0"/>
            <w:vAlign w:val="center"/>
          </w:tcPr>
          <w:p w14:paraId="6FFD35CB">
            <w:pPr>
              <w:jc w:val="center"/>
              <w:rPr>
                <w:rFonts w:hint="eastAsia" w:ascii="仿宋" w:hAnsi="仿宋" w:eastAsia="仿宋" w:cs="仿宋"/>
                <w:b/>
                <w:sz w:val="24"/>
                <w:szCs w:val="24"/>
              </w:rPr>
            </w:pPr>
          </w:p>
        </w:tc>
        <w:tc>
          <w:tcPr>
            <w:tcW w:w="1287" w:type="dxa"/>
            <w:vMerge w:val="continue"/>
            <w:noWrap w:val="0"/>
            <w:vAlign w:val="center"/>
          </w:tcPr>
          <w:p w14:paraId="785F4B5A">
            <w:pPr>
              <w:jc w:val="center"/>
              <w:rPr>
                <w:rFonts w:hint="eastAsia" w:ascii="仿宋" w:hAnsi="仿宋" w:eastAsia="仿宋" w:cs="仿宋"/>
                <w:b/>
                <w:sz w:val="24"/>
                <w:szCs w:val="24"/>
                <w:lang w:eastAsia="zh-CN"/>
              </w:rPr>
            </w:pPr>
          </w:p>
        </w:tc>
        <w:tc>
          <w:tcPr>
            <w:tcW w:w="1643" w:type="dxa"/>
            <w:vMerge w:val="continue"/>
            <w:noWrap w:val="0"/>
            <w:vAlign w:val="center"/>
          </w:tcPr>
          <w:p w14:paraId="4407F581">
            <w:pPr>
              <w:jc w:val="center"/>
              <w:rPr>
                <w:rFonts w:hint="eastAsia" w:ascii="仿宋" w:hAnsi="仿宋" w:eastAsia="仿宋" w:cs="仿宋"/>
                <w:b/>
                <w:sz w:val="24"/>
                <w:szCs w:val="24"/>
                <w:lang w:eastAsia="zh-CN"/>
              </w:rPr>
            </w:pPr>
          </w:p>
        </w:tc>
        <w:tc>
          <w:tcPr>
            <w:tcW w:w="2464" w:type="dxa"/>
            <w:vMerge w:val="continue"/>
            <w:noWrap w:val="0"/>
            <w:vAlign w:val="center"/>
          </w:tcPr>
          <w:p w14:paraId="246FD107">
            <w:pPr>
              <w:jc w:val="center"/>
              <w:rPr>
                <w:rFonts w:hint="eastAsia" w:ascii="仿宋" w:hAnsi="仿宋" w:eastAsia="仿宋" w:cs="仿宋"/>
                <w:b/>
                <w:sz w:val="24"/>
                <w:szCs w:val="24"/>
              </w:rPr>
            </w:pPr>
          </w:p>
        </w:tc>
        <w:tc>
          <w:tcPr>
            <w:tcW w:w="1000" w:type="dxa"/>
            <w:vMerge w:val="continue"/>
            <w:noWrap w:val="0"/>
            <w:vAlign w:val="center"/>
          </w:tcPr>
          <w:p w14:paraId="72EDC809">
            <w:pPr>
              <w:jc w:val="center"/>
              <w:rPr>
                <w:rFonts w:hint="eastAsia" w:ascii="仿宋" w:hAnsi="仿宋" w:eastAsia="仿宋" w:cs="仿宋"/>
                <w:b/>
                <w:sz w:val="24"/>
                <w:szCs w:val="24"/>
              </w:rPr>
            </w:pPr>
          </w:p>
        </w:tc>
        <w:tc>
          <w:tcPr>
            <w:tcW w:w="1090" w:type="dxa"/>
            <w:vMerge w:val="continue"/>
            <w:noWrap w:val="0"/>
            <w:vAlign w:val="center"/>
          </w:tcPr>
          <w:p w14:paraId="12FA54A7">
            <w:pPr>
              <w:jc w:val="center"/>
              <w:rPr>
                <w:rFonts w:hint="eastAsia" w:ascii="仿宋" w:hAnsi="仿宋" w:eastAsia="仿宋" w:cs="仿宋"/>
                <w:b/>
                <w:sz w:val="24"/>
                <w:szCs w:val="24"/>
                <w:lang w:val="en-US" w:eastAsia="zh-CN"/>
              </w:rPr>
            </w:pPr>
          </w:p>
        </w:tc>
        <w:tc>
          <w:tcPr>
            <w:tcW w:w="1712" w:type="dxa"/>
            <w:vMerge w:val="continue"/>
            <w:noWrap w:val="0"/>
            <w:vAlign w:val="center"/>
          </w:tcPr>
          <w:p w14:paraId="6006336E">
            <w:pPr>
              <w:jc w:val="center"/>
              <w:rPr>
                <w:rFonts w:hint="eastAsia" w:ascii="仿宋" w:hAnsi="仿宋" w:eastAsia="仿宋" w:cs="仿宋"/>
                <w:b/>
                <w:sz w:val="24"/>
                <w:szCs w:val="24"/>
                <w:lang w:eastAsia="zh-CN"/>
              </w:rPr>
            </w:pPr>
          </w:p>
        </w:tc>
        <w:tc>
          <w:tcPr>
            <w:tcW w:w="1500" w:type="dxa"/>
            <w:noWrap w:val="0"/>
            <w:vAlign w:val="center"/>
          </w:tcPr>
          <w:p w14:paraId="4EEC524F">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单价</w:t>
            </w:r>
          </w:p>
        </w:tc>
        <w:tc>
          <w:tcPr>
            <w:tcW w:w="1746" w:type="dxa"/>
            <w:noWrap w:val="0"/>
            <w:vAlign w:val="center"/>
          </w:tcPr>
          <w:p w14:paraId="51839596">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合价</w:t>
            </w:r>
          </w:p>
        </w:tc>
        <w:tc>
          <w:tcPr>
            <w:tcW w:w="1595" w:type="dxa"/>
            <w:vMerge w:val="continue"/>
            <w:noWrap w:val="0"/>
            <w:vAlign w:val="center"/>
          </w:tcPr>
          <w:p w14:paraId="582A2238">
            <w:pPr>
              <w:jc w:val="center"/>
              <w:rPr>
                <w:rFonts w:hint="eastAsia" w:ascii="仿宋" w:hAnsi="仿宋" w:eastAsia="仿宋" w:cs="仿宋"/>
                <w:b/>
                <w:sz w:val="24"/>
                <w:szCs w:val="24"/>
              </w:rPr>
            </w:pPr>
          </w:p>
        </w:tc>
      </w:tr>
      <w:tr w14:paraId="0740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702" w:type="dxa"/>
            <w:noWrap w:val="0"/>
            <w:vAlign w:val="center"/>
          </w:tcPr>
          <w:p w14:paraId="521C1A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bookmarkStart w:id="0" w:name="OLE_LINK1" w:colFirst="5" w:colLast="5"/>
            <w:bookmarkStart w:id="1" w:name="OLE_LINK2" w:colFirst="6" w:colLast="6"/>
            <w:r>
              <w:rPr>
                <w:rFonts w:hint="eastAsia" w:ascii="仿宋" w:hAnsi="仿宋" w:eastAsia="仿宋" w:cs="仿宋"/>
                <w:kern w:val="2"/>
                <w:sz w:val="21"/>
                <w:szCs w:val="21"/>
                <w:highlight w:val="none"/>
                <w:lang w:val="en-US" w:eastAsia="zh-CN" w:bidi="ar-SA"/>
              </w:rPr>
              <w:t>1</w:t>
            </w:r>
          </w:p>
        </w:tc>
        <w:tc>
          <w:tcPr>
            <w:tcW w:w="1287" w:type="dxa"/>
            <w:noWrap w:val="0"/>
            <w:vAlign w:val="center"/>
          </w:tcPr>
          <w:p w14:paraId="75C8C2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i w:val="0"/>
                <w:color w:val="000000"/>
                <w:sz w:val="22"/>
                <w:szCs w:val="22"/>
                <w:highlight w:val="none"/>
                <w:u w:val="none"/>
                <w:lang w:eastAsia="zh-CN"/>
              </w:rPr>
              <w:t>挖掘机</w:t>
            </w:r>
          </w:p>
        </w:tc>
        <w:tc>
          <w:tcPr>
            <w:tcW w:w="1643" w:type="dxa"/>
            <w:noWrap w:val="0"/>
            <w:vAlign w:val="center"/>
          </w:tcPr>
          <w:p w14:paraId="659AF1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color w:val="000000"/>
                <w:kern w:val="0"/>
                <w:sz w:val="22"/>
                <w:szCs w:val="22"/>
                <w:highlight w:val="none"/>
                <w:u w:val="none"/>
                <w:lang w:val="en-US" w:eastAsia="zh-CN" w:bidi="ar"/>
              </w:rPr>
              <w:t>90型及以下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kern w:val="2"/>
                <w:sz w:val="21"/>
                <w:szCs w:val="21"/>
                <w:highlight w:val="none"/>
                <w:lang w:eastAsia="zh-CN" w:bidi="ar-SA"/>
              </w:rPr>
              <w:t>或轮式</w:t>
            </w:r>
            <w:r>
              <w:rPr>
                <w:rFonts w:hint="eastAsia" w:ascii="仿宋" w:hAnsi="仿宋" w:eastAsia="仿宋" w:cs="仿宋"/>
                <w:i w:val="0"/>
                <w:color w:val="000000"/>
                <w:sz w:val="22"/>
                <w:szCs w:val="22"/>
                <w:highlight w:val="none"/>
                <w:u w:val="none"/>
                <w:lang w:eastAsia="zh-CN"/>
              </w:rPr>
              <w:t>挖掘机</w:t>
            </w:r>
          </w:p>
        </w:tc>
        <w:tc>
          <w:tcPr>
            <w:tcW w:w="2464" w:type="dxa"/>
            <w:noWrap w:val="0"/>
            <w:vAlign w:val="center"/>
          </w:tcPr>
          <w:p w14:paraId="67745BA3">
            <w:pPr>
              <w:keepNext w:val="0"/>
              <w:keepLines w:val="0"/>
              <w:widowControl/>
              <w:suppressLineNumbers w:val="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土方开挖、回填</w:t>
            </w:r>
          </w:p>
        </w:tc>
        <w:tc>
          <w:tcPr>
            <w:tcW w:w="1000" w:type="dxa"/>
            <w:noWrap w:val="0"/>
            <w:vAlign w:val="center"/>
          </w:tcPr>
          <w:p w14:paraId="4562503B">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kern w:val="2"/>
                <w:sz w:val="21"/>
                <w:szCs w:val="21"/>
                <w:lang w:val="en-US" w:eastAsia="zh-CN" w:bidi="ar-SA"/>
              </w:rPr>
            </w:pPr>
            <w:r>
              <w:rPr>
                <w:rFonts w:hint="eastAsia" w:ascii="仿宋" w:hAnsi="仿宋" w:eastAsia="仿宋" w:cs="仿宋"/>
                <w:i w:val="0"/>
                <w:color w:val="000000"/>
                <w:kern w:val="0"/>
                <w:sz w:val="22"/>
                <w:szCs w:val="22"/>
                <w:highlight w:val="none"/>
                <w:u w:val="none"/>
                <w:lang w:val="en-US" w:eastAsia="zh-CN" w:bidi="ar"/>
              </w:rPr>
              <w:t>小时</w:t>
            </w:r>
          </w:p>
        </w:tc>
        <w:tc>
          <w:tcPr>
            <w:tcW w:w="1090" w:type="dxa"/>
            <w:noWrap w:val="0"/>
            <w:vAlign w:val="center"/>
          </w:tcPr>
          <w:p w14:paraId="0C0825A2">
            <w:pPr>
              <w:keepNext w:val="0"/>
              <w:keepLines w:val="0"/>
              <w:pageBreakBefore w:val="0"/>
              <w:widowControl/>
              <w:numPr>
                <w:ilvl w:val="0"/>
                <w:numId w:val="0"/>
              </w:numPr>
              <w:kinsoku/>
              <w:wordWrap/>
              <w:overflowPunct/>
              <w:topLinePunct w:val="0"/>
              <w:autoSpaceDE/>
              <w:autoSpaceDN/>
              <w:bidi w:val="0"/>
              <w:adjustRightInd/>
              <w:snapToGrid/>
              <w:spacing w:line="240" w:lineRule="exact"/>
              <w:ind w:left="0" w:leftChars="0" w:firstLine="0" w:firstLineChars="0"/>
              <w:jc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eastAsia="zh-CN" w:bidi="ar"/>
              </w:rPr>
              <w:t>300</w:t>
            </w:r>
          </w:p>
        </w:tc>
        <w:tc>
          <w:tcPr>
            <w:tcW w:w="1712" w:type="dxa"/>
            <w:noWrap w:val="0"/>
            <w:vAlign w:val="center"/>
          </w:tcPr>
          <w:p w14:paraId="3576F19A">
            <w:pPr>
              <w:jc w:val="center"/>
              <w:rPr>
                <w:rFonts w:hint="eastAsia" w:ascii="仿宋" w:hAnsi="仿宋" w:eastAsia="仿宋" w:cs="仿宋"/>
                <w:kern w:val="2"/>
                <w:sz w:val="24"/>
                <w:szCs w:val="32"/>
                <w:lang w:val="en-US" w:eastAsia="zh-CN" w:bidi="ar-SA"/>
              </w:rPr>
            </w:pPr>
            <w:r>
              <w:rPr>
                <w:rFonts w:hint="eastAsia" w:ascii="仿宋" w:hAnsi="仿宋" w:eastAsia="仿宋" w:cs="仿宋"/>
                <w:sz w:val="24"/>
                <w:szCs w:val="32"/>
                <w:highlight w:val="none"/>
                <w:lang w:val="en-US" w:eastAsia="zh-CN"/>
              </w:rPr>
              <w:t>120元/小时</w:t>
            </w:r>
          </w:p>
        </w:tc>
        <w:tc>
          <w:tcPr>
            <w:tcW w:w="1500" w:type="dxa"/>
            <w:noWrap w:val="0"/>
            <w:vAlign w:val="center"/>
          </w:tcPr>
          <w:p w14:paraId="1677FA1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46" w:type="dxa"/>
            <w:noWrap w:val="0"/>
            <w:vAlign w:val="center"/>
          </w:tcPr>
          <w:p w14:paraId="12CB2D8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6E54A5E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38D42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jc w:val="center"/>
        </w:trPr>
        <w:tc>
          <w:tcPr>
            <w:tcW w:w="702" w:type="dxa"/>
            <w:noWrap w:val="0"/>
            <w:vAlign w:val="center"/>
          </w:tcPr>
          <w:p w14:paraId="3E3BA7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w:t>
            </w:r>
          </w:p>
        </w:tc>
        <w:tc>
          <w:tcPr>
            <w:tcW w:w="1287" w:type="dxa"/>
            <w:noWrap w:val="0"/>
            <w:vAlign w:val="center"/>
          </w:tcPr>
          <w:p w14:paraId="12E7F3EF">
            <w:pPr>
              <w:keepNext w:val="0"/>
              <w:keepLines w:val="0"/>
              <w:pageBreakBefore w:val="0"/>
              <w:widowControl/>
              <w:numPr>
                <w:ilvl w:val="0"/>
                <w:numId w:val="0"/>
              </w:numPr>
              <w:kinsoku/>
              <w:wordWrap/>
              <w:overflowPunct/>
              <w:topLinePunct w:val="0"/>
              <w:autoSpaceDE/>
              <w:autoSpaceDN/>
              <w:bidi w:val="0"/>
              <w:adjustRightInd/>
              <w:snapToGrid/>
              <w:spacing w:line="240" w:lineRule="exact"/>
              <w:ind w:left="0" w:lef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i w:val="0"/>
                <w:color w:val="000000"/>
                <w:sz w:val="22"/>
                <w:szCs w:val="22"/>
                <w:highlight w:val="none"/>
                <w:u w:val="none"/>
                <w:lang w:eastAsia="zh-CN"/>
              </w:rPr>
              <w:t>挖掘机</w:t>
            </w:r>
          </w:p>
        </w:tc>
        <w:tc>
          <w:tcPr>
            <w:tcW w:w="1643" w:type="dxa"/>
            <w:noWrap w:val="0"/>
            <w:vAlign w:val="center"/>
          </w:tcPr>
          <w:p w14:paraId="5CC40826">
            <w:pPr>
              <w:keepNext w:val="0"/>
              <w:keepLines w:val="0"/>
              <w:pageBreakBefore w:val="0"/>
              <w:widowControl/>
              <w:numPr>
                <w:ilvl w:val="0"/>
                <w:numId w:val="0"/>
              </w:numPr>
              <w:kinsoku/>
              <w:wordWrap/>
              <w:overflowPunct/>
              <w:topLinePunct w:val="0"/>
              <w:autoSpaceDE/>
              <w:autoSpaceDN/>
              <w:bidi w:val="0"/>
              <w:adjustRightInd/>
              <w:snapToGrid/>
              <w:spacing w:line="240" w:lineRule="exact"/>
              <w:ind w:left="0" w:lef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i w:val="0"/>
                <w:color w:val="000000"/>
                <w:kern w:val="0"/>
                <w:sz w:val="22"/>
                <w:szCs w:val="22"/>
                <w:highlight w:val="none"/>
                <w:u w:val="none"/>
                <w:lang w:val="en-US" w:eastAsia="zh-CN" w:bidi="ar"/>
              </w:rPr>
              <w:t>210-230型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highlight w:val="none"/>
                <w:u w:val="none"/>
                <w:lang w:eastAsia="zh-CN"/>
              </w:rPr>
              <w:t>挖掘机</w:t>
            </w:r>
          </w:p>
        </w:tc>
        <w:tc>
          <w:tcPr>
            <w:tcW w:w="2464" w:type="dxa"/>
            <w:noWrap w:val="0"/>
            <w:vAlign w:val="center"/>
          </w:tcPr>
          <w:p w14:paraId="64468A43">
            <w:pPr>
              <w:keepNext w:val="0"/>
              <w:keepLines w:val="0"/>
              <w:widowControl/>
              <w:numPr>
                <w:ilvl w:val="0"/>
                <w:numId w:val="0"/>
              </w:numPr>
              <w:suppressLineNumbers w:val="0"/>
              <w:ind w:left="0" w:leftChars="0" w:firstLine="0" w:firstLineChars="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土方开挖、回填</w:t>
            </w:r>
          </w:p>
        </w:tc>
        <w:tc>
          <w:tcPr>
            <w:tcW w:w="1000" w:type="dxa"/>
            <w:noWrap w:val="0"/>
            <w:vAlign w:val="center"/>
          </w:tcPr>
          <w:p w14:paraId="0BA8003C">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i w:val="0"/>
                <w:color w:val="000000"/>
                <w:kern w:val="0"/>
                <w:sz w:val="22"/>
                <w:szCs w:val="22"/>
                <w:highlight w:val="none"/>
                <w:u w:val="none"/>
                <w:lang w:val="en-US" w:eastAsia="zh-CN" w:bidi="ar"/>
              </w:rPr>
              <w:t>小时</w:t>
            </w:r>
          </w:p>
        </w:tc>
        <w:tc>
          <w:tcPr>
            <w:tcW w:w="1090" w:type="dxa"/>
            <w:noWrap w:val="0"/>
            <w:vAlign w:val="center"/>
          </w:tcPr>
          <w:p w14:paraId="1FA8E02D">
            <w:pPr>
              <w:keepNext w:val="0"/>
              <w:keepLines w:val="0"/>
              <w:pageBreakBefore w:val="0"/>
              <w:widowControl/>
              <w:numPr>
                <w:ilvl w:val="0"/>
                <w:numId w:val="0"/>
              </w:numPr>
              <w:kinsoku/>
              <w:wordWrap/>
              <w:overflowPunct/>
              <w:topLinePunct w:val="0"/>
              <w:autoSpaceDE/>
              <w:autoSpaceDN/>
              <w:bidi w:val="0"/>
              <w:adjustRightInd/>
              <w:snapToGrid/>
              <w:spacing w:line="240" w:lineRule="exact"/>
              <w:ind w:left="0" w:leftChars="0" w:firstLine="0" w:firstLineChars="0"/>
              <w:jc w:val="center"/>
              <w:rPr>
                <w:rFonts w:hint="default"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160</w:t>
            </w:r>
          </w:p>
        </w:tc>
        <w:tc>
          <w:tcPr>
            <w:tcW w:w="1712" w:type="dxa"/>
            <w:noWrap w:val="0"/>
            <w:vAlign w:val="center"/>
          </w:tcPr>
          <w:p w14:paraId="41E4FE46">
            <w:pPr>
              <w:jc w:val="center"/>
              <w:rPr>
                <w:rFonts w:hint="eastAsia" w:ascii="仿宋" w:hAnsi="仿宋" w:eastAsia="仿宋" w:cs="仿宋"/>
                <w:kern w:val="2"/>
                <w:sz w:val="24"/>
                <w:szCs w:val="32"/>
                <w:lang w:val="en-US" w:eastAsia="zh-CN" w:bidi="ar-SA"/>
              </w:rPr>
            </w:pPr>
            <w:r>
              <w:rPr>
                <w:rFonts w:hint="eastAsia" w:ascii="仿宋" w:hAnsi="仿宋" w:eastAsia="仿宋" w:cs="仿宋"/>
                <w:sz w:val="24"/>
                <w:szCs w:val="32"/>
                <w:highlight w:val="none"/>
                <w:lang w:val="en-US" w:eastAsia="zh-CN"/>
              </w:rPr>
              <w:t>225元/小时</w:t>
            </w:r>
          </w:p>
        </w:tc>
        <w:tc>
          <w:tcPr>
            <w:tcW w:w="1500" w:type="dxa"/>
            <w:noWrap w:val="0"/>
            <w:vAlign w:val="center"/>
          </w:tcPr>
          <w:p w14:paraId="2D2912A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46" w:type="dxa"/>
            <w:noWrap w:val="0"/>
            <w:vAlign w:val="center"/>
          </w:tcPr>
          <w:p w14:paraId="61FEA96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57655E5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27B8C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0" w:hRule="atLeast"/>
          <w:jc w:val="center"/>
        </w:trPr>
        <w:tc>
          <w:tcPr>
            <w:tcW w:w="702" w:type="dxa"/>
            <w:noWrap w:val="0"/>
            <w:vAlign w:val="center"/>
          </w:tcPr>
          <w:p w14:paraId="0684FF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w:t>
            </w:r>
          </w:p>
        </w:tc>
        <w:tc>
          <w:tcPr>
            <w:tcW w:w="1287" w:type="dxa"/>
            <w:noWrap w:val="0"/>
            <w:vAlign w:val="center"/>
          </w:tcPr>
          <w:p w14:paraId="5199B1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highlight w:val="none"/>
                <w:lang w:val="en-US" w:eastAsia="zh-CN" w:bidi="ar-SA"/>
              </w:rPr>
              <w:t>捣机</w:t>
            </w:r>
          </w:p>
        </w:tc>
        <w:tc>
          <w:tcPr>
            <w:tcW w:w="1643" w:type="dxa"/>
            <w:noWrap w:val="0"/>
            <w:vAlign w:val="center"/>
          </w:tcPr>
          <w:p w14:paraId="3445760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color w:val="000000"/>
                <w:kern w:val="0"/>
                <w:sz w:val="22"/>
                <w:szCs w:val="22"/>
                <w:highlight w:val="none"/>
                <w:u w:val="none"/>
                <w:lang w:val="en-US" w:eastAsia="zh-CN" w:bidi="ar"/>
              </w:rPr>
              <w:t>90型及以下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kern w:val="2"/>
                <w:sz w:val="21"/>
                <w:szCs w:val="21"/>
                <w:highlight w:val="none"/>
                <w:lang w:eastAsia="zh-CN" w:bidi="ar-SA"/>
              </w:rPr>
              <w:t>或轮式</w:t>
            </w:r>
            <w:r>
              <w:rPr>
                <w:rFonts w:hint="eastAsia" w:ascii="仿宋" w:hAnsi="仿宋" w:eastAsia="仿宋" w:cs="仿宋"/>
                <w:i w:val="0"/>
                <w:color w:val="000000"/>
                <w:sz w:val="22"/>
                <w:szCs w:val="22"/>
                <w:highlight w:val="none"/>
                <w:u w:val="none"/>
                <w:lang w:eastAsia="zh-CN"/>
              </w:rPr>
              <w:t>挖掘机</w:t>
            </w:r>
          </w:p>
        </w:tc>
        <w:tc>
          <w:tcPr>
            <w:tcW w:w="2464" w:type="dxa"/>
            <w:noWrap w:val="0"/>
            <w:vAlign w:val="center"/>
          </w:tcPr>
          <w:p w14:paraId="0DBDE82F">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混凝土结构破碎</w:t>
            </w:r>
          </w:p>
        </w:tc>
        <w:tc>
          <w:tcPr>
            <w:tcW w:w="1000" w:type="dxa"/>
            <w:noWrap w:val="0"/>
            <w:vAlign w:val="center"/>
          </w:tcPr>
          <w:p w14:paraId="003B9999">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kern w:val="2"/>
                <w:sz w:val="21"/>
                <w:szCs w:val="21"/>
                <w:lang w:val="en-US" w:eastAsia="zh-CN" w:bidi="ar-SA"/>
              </w:rPr>
            </w:pPr>
            <w:r>
              <w:rPr>
                <w:rFonts w:hint="eastAsia" w:ascii="仿宋" w:hAnsi="仿宋" w:eastAsia="仿宋" w:cs="仿宋"/>
                <w:i w:val="0"/>
                <w:color w:val="000000"/>
                <w:kern w:val="0"/>
                <w:sz w:val="22"/>
                <w:szCs w:val="22"/>
                <w:highlight w:val="none"/>
                <w:u w:val="none"/>
                <w:lang w:val="en-US" w:eastAsia="zh-CN" w:bidi="ar"/>
              </w:rPr>
              <w:t>小时</w:t>
            </w:r>
          </w:p>
        </w:tc>
        <w:tc>
          <w:tcPr>
            <w:tcW w:w="1090" w:type="dxa"/>
            <w:noWrap w:val="0"/>
            <w:vAlign w:val="center"/>
          </w:tcPr>
          <w:p w14:paraId="42B43071">
            <w:pPr>
              <w:keepNext w:val="0"/>
              <w:keepLines w:val="0"/>
              <w:pageBreakBefore w:val="0"/>
              <w:widowControl/>
              <w:numPr>
                <w:ilvl w:val="0"/>
                <w:numId w:val="0"/>
              </w:numPr>
              <w:kinsoku/>
              <w:wordWrap/>
              <w:overflowPunct/>
              <w:topLinePunct w:val="0"/>
              <w:autoSpaceDE/>
              <w:autoSpaceDN/>
              <w:bidi w:val="0"/>
              <w:adjustRightInd/>
              <w:snapToGrid/>
              <w:spacing w:line="240" w:lineRule="exact"/>
              <w:ind w:left="0" w:leftChars="0" w:firstLine="0" w:firstLineChars="0"/>
              <w:jc w:val="center"/>
              <w:rPr>
                <w:rFonts w:hint="default"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20</w:t>
            </w:r>
          </w:p>
        </w:tc>
        <w:tc>
          <w:tcPr>
            <w:tcW w:w="1712" w:type="dxa"/>
            <w:noWrap w:val="0"/>
            <w:vAlign w:val="center"/>
          </w:tcPr>
          <w:p w14:paraId="7F021D8F">
            <w:pPr>
              <w:jc w:val="center"/>
              <w:rPr>
                <w:rFonts w:hint="eastAsia" w:ascii="仿宋" w:hAnsi="仿宋" w:eastAsia="仿宋" w:cs="仿宋"/>
                <w:kern w:val="2"/>
                <w:sz w:val="24"/>
                <w:szCs w:val="32"/>
                <w:lang w:val="en-US" w:eastAsia="zh-CN" w:bidi="ar-SA"/>
              </w:rPr>
            </w:pPr>
            <w:r>
              <w:rPr>
                <w:rFonts w:hint="eastAsia" w:ascii="仿宋" w:hAnsi="仿宋" w:eastAsia="仿宋" w:cs="仿宋"/>
                <w:sz w:val="24"/>
                <w:szCs w:val="32"/>
                <w:highlight w:val="none"/>
                <w:lang w:val="en-US" w:eastAsia="zh-CN"/>
              </w:rPr>
              <w:t>200元/小时</w:t>
            </w:r>
          </w:p>
        </w:tc>
        <w:tc>
          <w:tcPr>
            <w:tcW w:w="1500" w:type="dxa"/>
            <w:noWrap w:val="0"/>
            <w:vAlign w:val="center"/>
          </w:tcPr>
          <w:p w14:paraId="3E25428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46" w:type="dxa"/>
            <w:noWrap w:val="0"/>
            <w:vAlign w:val="center"/>
          </w:tcPr>
          <w:p w14:paraId="3FF21D4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3216B92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14D98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702" w:type="dxa"/>
            <w:noWrap w:val="0"/>
            <w:vAlign w:val="center"/>
          </w:tcPr>
          <w:p w14:paraId="40D656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4</w:t>
            </w:r>
          </w:p>
        </w:tc>
        <w:tc>
          <w:tcPr>
            <w:tcW w:w="1287" w:type="dxa"/>
            <w:noWrap w:val="0"/>
            <w:vAlign w:val="center"/>
          </w:tcPr>
          <w:p w14:paraId="45D7C9D4">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highlight w:val="none"/>
                <w:lang w:val="en-US" w:eastAsia="zh-CN" w:bidi="ar-SA"/>
              </w:rPr>
              <w:t>捣机</w:t>
            </w:r>
          </w:p>
        </w:tc>
        <w:tc>
          <w:tcPr>
            <w:tcW w:w="1643" w:type="dxa"/>
            <w:noWrap w:val="0"/>
            <w:vAlign w:val="center"/>
          </w:tcPr>
          <w:p w14:paraId="32CA753F">
            <w:pPr>
              <w:keepNext w:val="0"/>
              <w:keepLines w:val="0"/>
              <w:pageBreakBefore w:val="0"/>
              <w:widowControl/>
              <w:numPr>
                <w:ilvl w:val="0"/>
                <w:numId w:val="0"/>
              </w:numPr>
              <w:kinsoku/>
              <w:wordWrap/>
              <w:overflowPunct/>
              <w:topLinePunct w:val="0"/>
              <w:autoSpaceDE/>
              <w:autoSpaceDN/>
              <w:bidi w:val="0"/>
              <w:adjustRightInd/>
              <w:snapToGrid/>
              <w:spacing w:line="240" w:lineRule="exact"/>
              <w:ind w:left="0" w:lef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i w:val="0"/>
                <w:color w:val="000000"/>
                <w:kern w:val="0"/>
                <w:sz w:val="22"/>
                <w:szCs w:val="22"/>
                <w:highlight w:val="none"/>
                <w:u w:val="none"/>
                <w:lang w:val="en-US" w:eastAsia="zh-CN" w:bidi="ar"/>
              </w:rPr>
              <w:t>210-230型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highlight w:val="none"/>
                <w:u w:val="none"/>
                <w:lang w:eastAsia="zh-CN"/>
              </w:rPr>
              <w:t>挖掘机</w:t>
            </w:r>
          </w:p>
        </w:tc>
        <w:tc>
          <w:tcPr>
            <w:tcW w:w="2464" w:type="dxa"/>
            <w:noWrap w:val="0"/>
            <w:vAlign w:val="center"/>
          </w:tcPr>
          <w:p w14:paraId="45E1F8EB">
            <w:pPr>
              <w:numPr>
                <w:ilvl w:val="0"/>
                <w:numId w:val="0"/>
              </w:numPr>
              <w:ind w:left="0" w:lef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混凝土结构破碎</w:t>
            </w:r>
          </w:p>
        </w:tc>
        <w:tc>
          <w:tcPr>
            <w:tcW w:w="1000" w:type="dxa"/>
            <w:noWrap w:val="0"/>
            <w:vAlign w:val="center"/>
          </w:tcPr>
          <w:p w14:paraId="0FE1BB34">
            <w:pPr>
              <w:jc w:val="center"/>
              <w:rPr>
                <w:rFonts w:hint="eastAsia" w:ascii="仿宋" w:hAnsi="仿宋" w:eastAsia="仿宋" w:cs="仿宋"/>
                <w:kern w:val="2"/>
                <w:sz w:val="21"/>
                <w:szCs w:val="24"/>
                <w:lang w:val="en-US" w:eastAsia="zh-CN" w:bidi="ar-SA"/>
              </w:rPr>
            </w:pPr>
            <w:r>
              <w:rPr>
                <w:rFonts w:hint="eastAsia" w:ascii="仿宋" w:hAnsi="仿宋" w:eastAsia="仿宋" w:cs="仿宋"/>
                <w:i w:val="0"/>
                <w:color w:val="000000"/>
                <w:kern w:val="0"/>
                <w:sz w:val="22"/>
                <w:szCs w:val="22"/>
                <w:highlight w:val="none"/>
                <w:u w:val="none"/>
                <w:lang w:val="en-US" w:eastAsia="zh-CN" w:bidi="ar"/>
              </w:rPr>
              <w:t>小时</w:t>
            </w:r>
          </w:p>
        </w:tc>
        <w:tc>
          <w:tcPr>
            <w:tcW w:w="1090" w:type="dxa"/>
            <w:noWrap w:val="0"/>
            <w:vAlign w:val="center"/>
          </w:tcPr>
          <w:p w14:paraId="203B09FC">
            <w:pPr>
              <w:keepNext w:val="0"/>
              <w:keepLines w:val="0"/>
              <w:pageBreakBefore w:val="0"/>
              <w:widowControl/>
              <w:numPr>
                <w:ilvl w:val="0"/>
                <w:numId w:val="0"/>
              </w:numPr>
              <w:kinsoku/>
              <w:wordWrap/>
              <w:overflowPunct/>
              <w:topLinePunct w:val="0"/>
              <w:autoSpaceDE/>
              <w:autoSpaceDN/>
              <w:bidi w:val="0"/>
              <w:adjustRightInd/>
              <w:snapToGrid/>
              <w:spacing w:line="240" w:lineRule="exact"/>
              <w:ind w:left="0" w:leftChars="0" w:firstLine="0" w:firstLineChars="0"/>
              <w:jc w:val="center"/>
              <w:rPr>
                <w:rFonts w:hint="default"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10</w:t>
            </w:r>
          </w:p>
        </w:tc>
        <w:tc>
          <w:tcPr>
            <w:tcW w:w="1712" w:type="dxa"/>
            <w:noWrap w:val="0"/>
            <w:vAlign w:val="center"/>
          </w:tcPr>
          <w:p w14:paraId="3D52BB91">
            <w:pPr>
              <w:jc w:val="center"/>
              <w:rPr>
                <w:rFonts w:hint="eastAsia" w:ascii="仿宋" w:hAnsi="仿宋" w:eastAsia="仿宋" w:cs="仿宋"/>
                <w:kern w:val="2"/>
                <w:sz w:val="24"/>
                <w:szCs w:val="32"/>
                <w:lang w:val="en-US" w:eastAsia="zh-CN" w:bidi="ar-SA"/>
              </w:rPr>
            </w:pPr>
            <w:r>
              <w:rPr>
                <w:rFonts w:hint="eastAsia" w:ascii="仿宋" w:hAnsi="仿宋" w:eastAsia="仿宋" w:cs="仿宋"/>
                <w:sz w:val="24"/>
                <w:szCs w:val="32"/>
                <w:highlight w:val="none"/>
                <w:lang w:val="en-US" w:eastAsia="zh-CN"/>
              </w:rPr>
              <w:t>300元/小时</w:t>
            </w:r>
          </w:p>
        </w:tc>
        <w:tc>
          <w:tcPr>
            <w:tcW w:w="1500" w:type="dxa"/>
            <w:noWrap w:val="0"/>
            <w:vAlign w:val="center"/>
          </w:tcPr>
          <w:p w14:paraId="5125929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46" w:type="dxa"/>
            <w:noWrap w:val="0"/>
            <w:vAlign w:val="center"/>
          </w:tcPr>
          <w:p w14:paraId="107710A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5996298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028FC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702" w:type="dxa"/>
            <w:shd w:val="clear" w:color="auto" w:fill="auto"/>
            <w:noWrap w:val="0"/>
            <w:vAlign w:val="center"/>
          </w:tcPr>
          <w:p w14:paraId="7A95F1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5</w:t>
            </w:r>
          </w:p>
        </w:tc>
        <w:tc>
          <w:tcPr>
            <w:tcW w:w="1287" w:type="dxa"/>
            <w:noWrap w:val="0"/>
            <w:vAlign w:val="center"/>
          </w:tcPr>
          <w:p w14:paraId="60C7CBDB">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推土机</w:t>
            </w:r>
          </w:p>
        </w:tc>
        <w:tc>
          <w:tcPr>
            <w:tcW w:w="1643" w:type="dxa"/>
            <w:noWrap w:val="0"/>
            <w:vAlign w:val="center"/>
          </w:tcPr>
          <w:p w14:paraId="7B119153">
            <w:pPr>
              <w:keepNext w:val="0"/>
              <w:keepLines w:val="0"/>
              <w:widowControl/>
              <w:suppressLineNumbers w:val="0"/>
              <w:jc w:val="left"/>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SD120</w:t>
            </w:r>
          </w:p>
        </w:tc>
        <w:tc>
          <w:tcPr>
            <w:tcW w:w="2464" w:type="dxa"/>
            <w:noWrap w:val="0"/>
            <w:vAlign w:val="center"/>
          </w:tcPr>
          <w:p w14:paraId="1BAE0F50">
            <w:pPr>
              <w:keepNext w:val="0"/>
              <w:keepLines w:val="0"/>
              <w:widowControl/>
              <w:suppressLineNumbers w:val="0"/>
              <w:jc w:val="left"/>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场地平整</w:t>
            </w:r>
          </w:p>
        </w:tc>
        <w:tc>
          <w:tcPr>
            <w:tcW w:w="1000" w:type="dxa"/>
            <w:noWrap w:val="0"/>
            <w:vAlign w:val="center"/>
          </w:tcPr>
          <w:p w14:paraId="7983CCD6">
            <w:pPr>
              <w:jc w:val="center"/>
              <w:rPr>
                <w:rFonts w:hint="eastAsia" w:ascii="仿宋" w:hAnsi="仿宋" w:eastAsia="仿宋" w:cs="仿宋"/>
                <w:i w:val="0"/>
                <w:color w:val="000000"/>
                <w:kern w:val="0"/>
                <w:sz w:val="22"/>
                <w:szCs w:val="22"/>
                <w:highlight w:val="none"/>
                <w:u w:val="none"/>
                <w:lang w:val="en-US" w:eastAsia="zh-CN" w:bidi="ar"/>
              </w:rPr>
            </w:pPr>
            <w:r>
              <w:rPr>
                <w:rFonts w:hint="eastAsia" w:ascii="仿宋" w:hAnsi="仿宋" w:eastAsia="仿宋" w:cs="仿宋"/>
                <w:i w:val="0"/>
                <w:color w:val="000000"/>
                <w:kern w:val="0"/>
                <w:sz w:val="22"/>
                <w:szCs w:val="22"/>
                <w:highlight w:val="none"/>
                <w:u w:val="none"/>
                <w:lang w:val="en-US" w:eastAsia="zh-CN" w:bidi="ar"/>
              </w:rPr>
              <w:t>小时</w:t>
            </w:r>
          </w:p>
        </w:tc>
        <w:tc>
          <w:tcPr>
            <w:tcW w:w="1090" w:type="dxa"/>
            <w:noWrap w:val="0"/>
            <w:vAlign w:val="center"/>
          </w:tcPr>
          <w:p w14:paraId="189D21F4">
            <w:pPr>
              <w:jc w:val="center"/>
              <w:rPr>
                <w:rFonts w:hint="eastAsia" w:ascii="仿宋" w:hAnsi="仿宋" w:eastAsia="仿宋" w:cs="仿宋"/>
                <w:i w:val="0"/>
                <w:color w:val="000000"/>
                <w:kern w:val="0"/>
                <w:sz w:val="22"/>
                <w:szCs w:val="22"/>
                <w:highlight w:val="none"/>
                <w:u w:val="none"/>
                <w:lang w:val="en-US" w:eastAsia="zh-CN" w:bidi="ar"/>
              </w:rPr>
            </w:pPr>
            <w:r>
              <w:rPr>
                <w:rFonts w:hint="eastAsia" w:ascii="仿宋" w:hAnsi="仿宋" w:eastAsia="仿宋" w:cs="仿宋"/>
                <w:i w:val="0"/>
                <w:color w:val="000000"/>
                <w:kern w:val="0"/>
                <w:sz w:val="22"/>
                <w:szCs w:val="22"/>
                <w:highlight w:val="none"/>
                <w:u w:val="none"/>
                <w:lang w:val="en-US" w:eastAsia="zh-CN" w:bidi="ar"/>
              </w:rPr>
              <w:t>10</w:t>
            </w:r>
          </w:p>
        </w:tc>
        <w:tc>
          <w:tcPr>
            <w:tcW w:w="1712" w:type="dxa"/>
            <w:noWrap w:val="0"/>
            <w:vAlign w:val="center"/>
          </w:tcPr>
          <w:p w14:paraId="64C1B265">
            <w:pPr>
              <w:jc w:val="center"/>
              <w:rPr>
                <w:rFonts w:hint="eastAsia" w:ascii="仿宋" w:hAnsi="仿宋" w:eastAsia="仿宋" w:cs="仿宋"/>
                <w:i w:val="0"/>
                <w:color w:val="000000"/>
                <w:kern w:val="0"/>
                <w:sz w:val="22"/>
                <w:szCs w:val="22"/>
                <w:highlight w:val="none"/>
                <w:u w:val="none"/>
                <w:lang w:val="en-US" w:eastAsia="zh-CN" w:bidi="ar"/>
              </w:rPr>
            </w:pPr>
            <w:r>
              <w:rPr>
                <w:rFonts w:hint="eastAsia" w:ascii="仿宋" w:hAnsi="仿宋" w:eastAsia="仿宋" w:cs="仿宋"/>
                <w:i w:val="0"/>
                <w:color w:val="000000"/>
                <w:kern w:val="0"/>
                <w:sz w:val="22"/>
                <w:szCs w:val="22"/>
                <w:highlight w:val="none"/>
                <w:u w:val="none"/>
                <w:lang w:val="en-US" w:eastAsia="zh-CN" w:bidi="ar"/>
              </w:rPr>
              <w:t>180元/小时</w:t>
            </w:r>
          </w:p>
        </w:tc>
        <w:tc>
          <w:tcPr>
            <w:tcW w:w="1500" w:type="dxa"/>
            <w:noWrap w:val="0"/>
            <w:vAlign w:val="center"/>
          </w:tcPr>
          <w:p w14:paraId="17E88E5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46" w:type="dxa"/>
            <w:noWrap w:val="0"/>
            <w:vAlign w:val="center"/>
          </w:tcPr>
          <w:p w14:paraId="46F5752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184BD88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5710B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702" w:type="dxa"/>
            <w:shd w:val="clear" w:color="auto" w:fill="auto"/>
            <w:noWrap w:val="0"/>
            <w:vAlign w:val="center"/>
          </w:tcPr>
          <w:p w14:paraId="0C51E0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6</w:t>
            </w:r>
          </w:p>
        </w:tc>
        <w:tc>
          <w:tcPr>
            <w:tcW w:w="1287" w:type="dxa"/>
            <w:noWrap w:val="0"/>
            <w:vAlign w:val="center"/>
          </w:tcPr>
          <w:p w14:paraId="520CFA15">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推土机</w:t>
            </w:r>
          </w:p>
        </w:tc>
        <w:tc>
          <w:tcPr>
            <w:tcW w:w="1643" w:type="dxa"/>
            <w:noWrap w:val="0"/>
            <w:vAlign w:val="center"/>
          </w:tcPr>
          <w:p w14:paraId="3A23A39C">
            <w:pPr>
              <w:keepNext w:val="0"/>
              <w:keepLines w:val="0"/>
              <w:widowControl/>
              <w:suppressLineNumbers w:val="0"/>
              <w:jc w:val="left"/>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山推140</w:t>
            </w:r>
          </w:p>
        </w:tc>
        <w:tc>
          <w:tcPr>
            <w:tcW w:w="2464" w:type="dxa"/>
            <w:noWrap w:val="0"/>
            <w:vAlign w:val="center"/>
          </w:tcPr>
          <w:p w14:paraId="41D40111">
            <w:pPr>
              <w:keepNext w:val="0"/>
              <w:keepLines w:val="0"/>
              <w:widowControl/>
              <w:suppressLineNumbers w:val="0"/>
              <w:jc w:val="left"/>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场地平整</w:t>
            </w:r>
          </w:p>
        </w:tc>
        <w:tc>
          <w:tcPr>
            <w:tcW w:w="1000" w:type="dxa"/>
            <w:noWrap w:val="0"/>
            <w:vAlign w:val="center"/>
          </w:tcPr>
          <w:p w14:paraId="6E9C2D6B">
            <w:pPr>
              <w:jc w:val="center"/>
              <w:rPr>
                <w:rFonts w:hint="eastAsia" w:ascii="仿宋" w:hAnsi="仿宋" w:eastAsia="仿宋" w:cs="仿宋"/>
                <w:i w:val="0"/>
                <w:color w:val="000000"/>
                <w:kern w:val="0"/>
                <w:sz w:val="22"/>
                <w:szCs w:val="22"/>
                <w:highlight w:val="none"/>
                <w:u w:val="none"/>
                <w:lang w:val="en-US" w:eastAsia="zh-CN" w:bidi="ar"/>
              </w:rPr>
            </w:pPr>
            <w:r>
              <w:rPr>
                <w:rFonts w:hint="eastAsia" w:ascii="仿宋" w:hAnsi="仿宋" w:eastAsia="仿宋" w:cs="仿宋"/>
                <w:i w:val="0"/>
                <w:color w:val="000000"/>
                <w:kern w:val="0"/>
                <w:sz w:val="22"/>
                <w:szCs w:val="22"/>
                <w:highlight w:val="none"/>
                <w:u w:val="none"/>
                <w:lang w:val="en-US" w:eastAsia="zh-CN" w:bidi="ar"/>
              </w:rPr>
              <w:t>小时</w:t>
            </w:r>
          </w:p>
        </w:tc>
        <w:tc>
          <w:tcPr>
            <w:tcW w:w="1090" w:type="dxa"/>
            <w:noWrap w:val="0"/>
            <w:vAlign w:val="center"/>
          </w:tcPr>
          <w:p w14:paraId="376F93ED">
            <w:pPr>
              <w:jc w:val="center"/>
              <w:rPr>
                <w:rFonts w:hint="eastAsia" w:ascii="仿宋" w:hAnsi="仿宋" w:eastAsia="仿宋" w:cs="仿宋"/>
                <w:i w:val="0"/>
                <w:color w:val="000000"/>
                <w:kern w:val="0"/>
                <w:sz w:val="22"/>
                <w:szCs w:val="22"/>
                <w:highlight w:val="none"/>
                <w:u w:val="none"/>
                <w:lang w:val="en-US" w:eastAsia="zh-CN" w:bidi="ar"/>
              </w:rPr>
            </w:pPr>
            <w:r>
              <w:rPr>
                <w:rFonts w:hint="eastAsia" w:ascii="仿宋" w:hAnsi="仿宋" w:eastAsia="仿宋" w:cs="仿宋"/>
                <w:i w:val="0"/>
                <w:color w:val="000000"/>
                <w:kern w:val="0"/>
                <w:sz w:val="22"/>
                <w:szCs w:val="22"/>
                <w:highlight w:val="none"/>
                <w:u w:val="none"/>
                <w:lang w:val="en-US" w:eastAsia="zh-CN" w:bidi="ar"/>
              </w:rPr>
              <w:t>10</w:t>
            </w:r>
          </w:p>
        </w:tc>
        <w:tc>
          <w:tcPr>
            <w:tcW w:w="1712" w:type="dxa"/>
            <w:noWrap w:val="0"/>
            <w:vAlign w:val="center"/>
          </w:tcPr>
          <w:p w14:paraId="3D4E2AF6">
            <w:pPr>
              <w:jc w:val="center"/>
              <w:rPr>
                <w:rFonts w:hint="eastAsia" w:ascii="仿宋" w:hAnsi="仿宋" w:eastAsia="仿宋" w:cs="仿宋"/>
                <w:i w:val="0"/>
                <w:color w:val="000000"/>
                <w:kern w:val="0"/>
                <w:sz w:val="22"/>
                <w:szCs w:val="22"/>
                <w:highlight w:val="none"/>
                <w:u w:val="none"/>
                <w:lang w:val="en-US" w:eastAsia="zh-CN" w:bidi="ar"/>
              </w:rPr>
            </w:pPr>
            <w:r>
              <w:rPr>
                <w:rFonts w:hint="eastAsia" w:ascii="仿宋" w:hAnsi="仿宋" w:eastAsia="仿宋" w:cs="仿宋"/>
                <w:i w:val="0"/>
                <w:color w:val="000000"/>
                <w:kern w:val="0"/>
                <w:sz w:val="22"/>
                <w:szCs w:val="22"/>
                <w:highlight w:val="none"/>
                <w:u w:val="none"/>
                <w:lang w:val="en-US" w:eastAsia="zh-CN" w:bidi="ar"/>
              </w:rPr>
              <w:t>200元/小时</w:t>
            </w:r>
          </w:p>
        </w:tc>
        <w:tc>
          <w:tcPr>
            <w:tcW w:w="1500" w:type="dxa"/>
            <w:noWrap w:val="0"/>
            <w:vAlign w:val="center"/>
          </w:tcPr>
          <w:p w14:paraId="731BB2C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46" w:type="dxa"/>
            <w:noWrap w:val="0"/>
            <w:vAlign w:val="center"/>
          </w:tcPr>
          <w:p w14:paraId="0974D88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3E06F13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03B6D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0" w:hRule="atLeast"/>
          <w:jc w:val="center"/>
        </w:trPr>
        <w:tc>
          <w:tcPr>
            <w:tcW w:w="702" w:type="dxa"/>
            <w:shd w:val="clear" w:color="auto" w:fill="auto"/>
            <w:noWrap w:val="0"/>
            <w:vAlign w:val="center"/>
          </w:tcPr>
          <w:p w14:paraId="796AFA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7</w:t>
            </w:r>
          </w:p>
        </w:tc>
        <w:tc>
          <w:tcPr>
            <w:tcW w:w="1287" w:type="dxa"/>
            <w:shd w:val="clear" w:color="auto" w:fill="auto"/>
            <w:noWrap w:val="0"/>
            <w:vAlign w:val="center"/>
          </w:tcPr>
          <w:p w14:paraId="52E3C5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color w:val="000000"/>
                <w:kern w:val="0"/>
                <w:sz w:val="22"/>
                <w:szCs w:val="22"/>
                <w:highlight w:val="none"/>
                <w:u w:val="none"/>
                <w:lang w:val="en-US" w:eastAsia="zh-CN" w:bidi="ar"/>
              </w:rPr>
            </w:pPr>
            <w:r>
              <w:rPr>
                <w:rFonts w:hint="eastAsia" w:ascii="仿宋" w:hAnsi="仿宋" w:eastAsia="仿宋" w:cs="仿宋"/>
                <w:i w:val="0"/>
                <w:color w:val="000000"/>
                <w:kern w:val="0"/>
                <w:sz w:val="22"/>
                <w:szCs w:val="22"/>
                <w:highlight w:val="none"/>
                <w:u w:val="none"/>
                <w:lang w:val="en-US" w:eastAsia="zh-CN" w:bidi="ar"/>
              </w:rPr>
              <w:t>压路机</w:t>
            </w:r>
          </w:p>
          <w:p w14:paraId="7EE794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i w:val="0"/>
                <w:color w:val="000000"/>
                <w:kern w:val="0"/>
                <w:sz w:val="22"/>
                <w:szCs w:val="22"/>
                <w:highlight w:val="none"/>
                <w:u w:val="none"/>
                <w:lang w:val="en-US" w:eastAsia="zh-CN" w:bidi="ar"/>
              </w:rPr>
              <w:t>（振动）</w:t>
            </w:r>
          </w:p>
        </w:tc>
        <w:tc>
          <w:tcPr>
            <w:tcW w:w="1643" w:type="dxa"/>
            <w:shd w:val="clear" w:color="auto" w:fill="auto"/>
            <w:noWrap w:val="0"/>
            <w:vAlign w:val="center"/>
          </w:tcPr>
          <w:p w14:paraId="76A2A5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i w:val="0"/>
                <w:color w:val="000000"/>
                <w:kern w:val="0"/>
                <w:sz w:val="22"/>
                <w:szCs w:val="22"/>
                <w:highlight w:val="none"/>
                <w:u w:val="none"/>
                <w:lang w:val="en-US" w:eastAsia="zh-CN" w:bidi="ar"/>
              </w:rPr>
              <w:t>18T-20T</w:t>
            </w:r>
          </w:p>
        </w:tc>
        <w:tc>
          <w:tcPr>
            <w:tcW w:w="2464" w:type="dxa"/>
            <w:shd w:val="clear" w:color="auto" w:fill="auto"/>
            <w:noWrap w:val="0"/>
            <w:vAlign w:val="center"/>
          </w:tcPr>
          <w:p w14:paraId="6C2B43CF">
            <w:pPr>
              <w:numPr>
                <w:ilvl w:val="0"/>
                <w:numId w:val="0"/>
              </w:numPr>
              <w:ind w:left="0" w:lef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路基处理分层碾压</w:t>
            </w:r>
          </w:p>
        </w:tc>
        <w:tc>
          <w:tcPr>
            <w:tcW w:w="1000" w:type="dxa"/>
            <w:shd w:val="clear" w:color="auto" w:fill="auto"/>
            <w:noWrap w:val="0"/>
            <w:vAlign w:val="center"/>
          </w:tcPr>
          <w:p w14:paraId="0D1E1580">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台班</w:t>
            </w:r>
          </w:p>
        </w:tc>
        <w:tc>
          <w:tcPr>
            <w:tcW w:w="1090" w:type="dxa"/>
            <w:shd w:val="clear" w:color="auto" w:fill="auto"/>
            <w:noWrap w:val="0"/>
            <w:vAlign w:val="center"/>
          </w:tcPr>
          <w:p w14:paraId="4656052C">
            <w:pPr>
              <w:keepNext w:val="0"/>
              <w:keepLines w:val="0"/>
              <w:pageBreakBefore w:val="0"/>
              <w:widowControl/>
              <w:numPr>
                <w:ilvl w:val="0"/>
                <w:numId w:val="0"/>
              </w:numPr>
              <w:kinsoku/>
              <w:wordWrap/>
              <w:overflowPunct/>
              <w:topLinePunct w:val="0"/>
              <w:autoSpaceDE/>
              <w:autoSpaceDN/>
              <w:bidi w:val="0"/>
              <w:adjustRightInd/>
              <w:snapToGrid/>
              <w:spacing w:line="240" w:lineRule="exact"/>
              <w:ind w:left="0" w:leftChars="0" w:firstLine="0" w:firstLineChars="0"/>
              <w:jc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20</w:t>
            </w:r>
          </w:p>
        </w:tc>
        <w:tc>
          <w:tcPr>
            <w:tcW w:w="1712" w:type="dxa"/>
            <w:shd w:val="clear" w:color="auto" w:fill="auto"/>
            <w:noWrap w:val="0"/>
            <w:vAlign w:val="center"/>
          </w:tcPr>
          <w:p w14:paraId="167B899C">
            <w:pPr>
              <w:jc w:val="center"/>
              <w:rPr>
                <w:rFonts w:hint="eastAsia" w:ascii="仿宋" w:hAnsi="仿宋" w:eastAsia="仿宋" w:cs="仿宋"/>
                <w:kern w:val="2"/>
                <w:sz w:val="24"/>
                <w:szCs w:val="32"/>
                <w:lang w:val="en-US" w:eastAsia="zh-CN" w:bidi="ar-SA"/>
              </w:rPr>
            </w:pPr>
            <w:r>
              <w:rPr>
                <w:rFonts w:hint="eastAsia" w:ascii="仿宋" w:hAnsi="仿宋" w:eastAsia="仿宋" w:cs="仿宋"/>
                <w:sz w:val="24"/>
                <w:szCs w:val="32"/>
                <w:highlight w:val="none"/>
                <w:lang w:val="en-US" w:eastAsia="zh-CN"/>
              </w:rPr>
              <w:t>1100元/台班</w:t>
            </w:r>
          </w:p>
        </w:tc>
        <w:tc>
          <w:tcPr>
            <w:tcW w:w="1500" w:type="dxa"/>
            <w:noWrap w:val="0"/>
            <w:vAlign w:val="center"/>
          </w:tcPr>
          <w:p w14:paraId="2531FDB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46" w:type="dxa"/>
            <w:noWrap w:val="0"/>
            <w:vAlign w:val="center"/>
          </w:tcPr>
          <w:p w14:paraId="585D374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76CDCC5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49B8D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702" w:type="dxa"/>
            <w:shd w:val="clear" w:color="auto" w:fill="auto"/>
            <w:noWrap w:val="0"/>
            <w:vAlign w:val="center"/>
          </w:tcPr>
          <w:p w14:paraId="7D158E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8</w:t>
            </w:r>
          </w:p>
        </w:tc>
        <w:tc>
          <w:tcPr>
            <w:tcW w:w="1287" w:type="dxa"/>
            <w:shd w:val="clear" w:color="auto" w:fill="auto"/>
            <w:noWrap w:val="0"/>
            <w:vAlign w:val="center"/>
          </w:tcPr>
          <w:p w14:paraId="2C6017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color w:val="000000"/>
                <w:kern w:val="0"/>
                <w:sz w:val="22"/>
                <w:szCs w:val="22"/>
                <w:highlight w:val="none"/>
                <w:u w:val="none"/>
                <w:lang w:val="en-US" w:eastAsia="zh-CN" w:bidi="ar"/>
              </w:rPr>
              <w:t>环保自卸汽车</w:t>
            </w:r>
          </w:p>
        </w:tc>
        <w:tc>
          <w:tcPr>
            <w:tcW w:w="1643" w:type="dxa"/>
            <w:shd w:val="clear" w:color="auto" w:fill="auto"/>
            <w:noWrap w:val="0"/>
            <w:vAlign w:val="center"/>
          </w:tcPr>
          <w:p w14:paraId="393DE6C0">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highlight w:val="none"/>
                <w:u w:val="none"/>
                <w:lang w:val="en-US" w:eastAsia="zh-CN" w:bidi="ar"/>
              </w:rPr>
              <w:t>斗容量22</w:t>
            </w:r>
            <w:r>
              <w:rPr>
                <w:rFonts w:hint="eastAsia" w:ascii="仿宋" w:hAnsi="仿宋" w:eastAsia="仿宋" w:cs="仿宋"/>
                <w:i w:val="0"/>
                <w:color w:val="000000"/>
                <w:kern w:val="0"/>
                <w:sz w:val="24"/>
                <w:szCs w:val="24"/>
                <w:highlight w:val="none"/>
                <w:u w:val="none"/>
                <w:lang w:val="en-US" w:eastAsia="zh-CN" w:bidi="ar"/>
              </w:rPr>
              <w:t>m</w:t>
            </w:r>
            <w:r>
              <w:rPr>
                <w:rFonts w:hint="eastAsia" w:ascii="仿宋" w:hAnsi="仿宋" w:eastAsia="仿宋" w:cs="仿宋"/>
                <w:i w:val="0"/>
                <w:color w:val="000000"/>
                <w:kern w:val="0"/>
                <w:sz w:val="24"/>
                <w:szCs w:val="24"/>
                <w:highlight w:val="none"/>
                <w:u w:val="none"/>
                <w:vertAlign w:val="superscript"/>
                <w:lang w:val="en-US" w:eastAsia="zh-CN" w:bidi="ar"/>
              </w:rPr>
              <w:t>3</w:t>
            </w:r>
          </w:p>
        </w:tc>
        <w:tc>
          <w:tcPr>
            <w:tcW w:w="2464" w:type="dxa"/>
            <w:shd w:val="clear" w:color="auto" w:fill="auto"/>
            <w:noWrap w:val="0"/>
            <w:vAlign w:val="center"/>
          </w:tcPr>
          <w:p w14:paraId="0888FE3A">
            <w:pPr>
              <w:keepNext w:val="0"/>
              <w:keepLines w:val="0"/>
              <w:widowControl/>
              <w:numPr>
                <w:ilvl w:val="0"/>
                <w:numId w:val="0"/>
              </w:numPr>
              <w:suppressLineNumbers w:val="0"/>
              <w:ind w:left="0" w:leftChars="0" w:firstLine="0" w:firstLineChars="0"/>
              <w:jc w:val="left"/>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土方场内倒运</w:t>
            </w:r>
          </w:p>
        </w:tc>
        <w:tc>
          <w:tcPr>
            <w:tcW w:w="1000" w:type="dxa"/>
            <w:shd w:val="clear" w:color="auto" w:fill="auto"/>
            <w:noWrap w:val="0"/>
            <w:vAlign w:val="center"/>
          </w:tcPr>
          <w:p w14:paraId="598D1200">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台班</w:t>
            </w:r>
          </w:p>
        </w:tc>
        <w:tc>
          <w:tcPr>
            <w:tcW w:w="1090" w:type="dxa"/>
            <w:shd w:val="clear" w:color="auto" w:fill="auto"/>
            <w:noWrap w:val="0"/>
            <w:vAlign w:val="center"/>
          </w:tcPr>
          <w:p w14:paraId="474FF765">
            <w:pPr>
              <w:keepNext w:val="0"/>
              <w:keepLines w:val="0"/>
              <w:pageBreakBefore w:val="0"/>
              <w:widowControl/>
              <w:numPr>
                <w:ilvl w:val="0"/>
                <w:numId w:val="0"/>
              </w:numPr>
              <w:kinsoku/>
              <w:wordWrap/>
              <w:overflowPunct/>
              <w:topLinePunct w:val="0"/>
              <w:autoSpaceDE/>
              <w:autoSpaceDN/>
              <w:bidi w:val="0"/>
              <w:adjustRightInd/>
              <w:snapToGrid/>
              <w:spacing w:line="240" w:lineRule="exact"/>
              <w:ind w:left="0" w:leftChars="0" w:firstLine="0" w:firstLineChars="0"/>
              <w:jc w:val="center"/>
              <w:rPr>
                <w:rFonts w:hint="default"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10</w:t>
            </w:r>
          </w:p>
        </w:tc>
        <w:tc>
          <w:tcPr>
            <w:tcW w:w="1712" w:type="dxa"/>
            <w:shd w:val="clear" w:color="auto" w:fill="auto"/>
            <w:noWrap w:val="0"/>
            <w:vAlign w:val="center"/>
          </w:tcPr>
          <w:p w14:paraId="7F9C0D52">
            <w:pPr>
              <w:jc w:val="center"/>
              <w:rPr>
                <w:rFonts w:hint="eastAsia" w:ascii="仿宋" w:hAnsi="仿宋" w:eastAsia="仿宋" w:cs="仿宋"/>
                <w:kern w:val="2"/>
                <w:sz w:val="24"/>
                <w:szCs w:val="32"/>
                <w:lang w:val="en-US" w:eastAsia="zh-CN" w:bidi="ar-SA"/>
              </w:rPr>
            </w:pPr>
            <w:r>
              <w:rPr>
                <w:rFonts w:hint="eastAsia" w:ascii="仿宋" w:hAnsi="仿宋" w:eastAsia="仿宋" w:cs="仿宋"/>
                <w:sz w:val="24"/>
                <w:szCs w:val="32"/>
                <w:highlight w:val="none"/>
                <w:lang w:val="en-US" w:eastAsia="zh-CN"/>
              </w:rPr>
              <w:t>1500元/台班</w:t>
            </w:r>
          </w:p>
        </w:tc>
        <w:tc>
          <w:tcPr>
            <w:tcW w:w="1500" w:type="dxa"/>
            <w:noWrap w:val="0"/>
            <w:vAlign w:val="center"/>
          </w:tcPr>
          <w:p w14:paraId="1CBC37E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46" w:type="dxa"/>
            <w:noWrap w:val="0"/>
            <w:vAlign w:val="center"/>
          </w:tcPr>
          <w:p w14:paraId="45FFF4E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28E97D1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4EBB3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702" w:type="dxa"/>
            <w:noWrap w:val="0"/>
            <w:vAlign w:val="center"/>
          </w:tcPr>
          <w:p w14:paraId="14754E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9</w:t>
            </w:r>
          </w:p>
        </w:tc>
        <w:tc>
          <w:tcPr>
            <w:tcW w:w="1287" w:type="dxa"/>
            <w:shd w:val="clear" w:color="auto" w:fill="auto"/>
            <w:noWrap w:val="0"/>
            <w:vAlign w:val="center"/>
          </w:tcPr>
          <w:p w14:paraId="1C060D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color w:val="000000"/>
                <w:kern w:val="0"/>
                <w:sz w:val="22"/>
                <w:szCs w:val="22"/>
                <w:highlight w:val="none"/>
                <w:u w:val="none"/>
                <w:lang w:val="en-US" w:eastAsia="zh-CN" w:bidi="ar"/>
              </w:rPr>
              <w:t>环保自卸汽车</w:t>
            </w:r>
          </w:p>
        </w:tc>
        <w:tc>
          <w:tcPr>
            <w:tcW w:w="1643" w:type="dxa"/>
            <w:shd w:val="clear" w:color="auto" w:fill="auto"/>
            <w:noWrap w:val="0"/>
            <w:vAlign w:val="center"/>
          </w:tcPr>
          <w:p w14:paraId="7E8CF5E0">
            <w:pPr>
              <w:keepNext w:val="0"/>
              <w:keepLines w:val="0"/>
              <w:widowControl/>
              <w:suppressLineNumbers w:val="0"/>
              <w:jc w:val="left"/>
              <w:textAlignment w:val="center"/>
              <w:rPr>
                <w:rFonts w:hint="eastAsia" w:ascii="仿宋" w:hAnsi="仿宋" w:eastAsia="仿宋" w:cs="仿宋"/>
                <w:i w:val="0"/>
                <w:color w:val="000000"/>
                <w:kern w:val="2"/>
                <w:sz w:val="22"/>
                <w:szCs w:val="22"/>
                <w:u w:val="none"/>
                <w:lang w:val="en-US" w:eastAsia="zh-CN" w:bidi="ar-SA"/>
              </w:rPr>
            </w:pPr>
            <w:r>
              <w:rPr>
                <w:rFonts w:hint="eastAsia" w:ascii="仿宋" w:hAnsi="仿宋" w:eastAsia="仿宋" w:cs="仿宋"/>
                <w:i w:val="0"/>
                <w:color w:val="000000"/>
                <w:kern w:val="0"/>
                <w:sz w:val="22"/>
                <w:szCs w:val="22"/>
                <w:highlight w:val="none"/>
                <w:u w:val="none"/>
                <w:lang w:val="en-US" w:eastAsia="zh-CN" w:bidi="ar"/>
              </w:rPr>
              <w:t>斗容量10</w:t>
            </w:r>
            <w:r>
              <w:rPr>
                <w:rFonts w:hint="eastAsia" w:ascii="仿宋" w:hAnsi="仿宋" w:eastAsia="仿宋" w:cs="仿宋"/>
                <w:i w:val="0"/>
                <w:color w:val="000000"/>
                <w:kern w:val="0"/>
                <w:sz w:val="24"/>
                <w:szCs w:val="24"/>
                <w:highlight w:val="none"/>
                <w:u w:val="none"/>
                <w:lang w:val="en-US" w:eastAsia="zh-CN" w:bidi="ar"/>
              </w:rPr>
              <w:t>m</w:t>
            </w:r>
            <w:r>
              <w:rPr>
                <w:rFonts w:hint="eastAsia" w:ascii="仿宋" w:hAnsi="仿宋" w:eastAsia="仿宋" w:cs="仿宋"/>
                <w:i w:val="0"/>
                <w:color w:val="000000"/>
                <w:kern w:val="0"/>
                <w:sz w:val="24"/>
                <w:szCs w:val="24"/>
                <w:highlight w:val="none"/>
                <w:u w:val="none"/>
                <w:vertAlign w:val="superscript"/>
                <w:lang w:val="en-US" w:eastAsia="zh-CN" w:bidi="ar"/>
              </w:rPr>
              <w:t>3</w:t>
            </w:r>
          </w:p>
        </w:tc>
        <w:tc>
          <w:tcPr>
            <w:tcW w:w="2464" w:type="dxa"/>
            <w:shd w:val="clear" w:color="auto" w:fill="auto"/>
            <w:noWrap w:val="0"/>
            <w:vAlign w:val="center"/>
          </w:tcPr>
          <w:p w14:paraId="223D48CE">
            <w:pPr>
              <w:keepNext w:val="0"/>
              <w:keepLines w:val="0"/>
              <w:widowControl/>
              <w:numPr>
                <w:ilvl w:val="0"/>
                <w:numId w:val="0"/>
              </w:numPr>
              <w:suppressLineNumbers w:val="0"/>
              <w:ind w:left="0" w:leftChars="0" w:firstLine="0" w:firstLineChars="0"/>
              <w:jc w:val="left"/>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土方场内倒运</w:t>
            </w:r>
          </w:p>
        </w:tc>
        <w:tc>
          <w:tcPr>
            <w:tcW w:w="1000" w:type="dxa"/>
            <w:shd w:val="clear" w:color="auto" w:fill="auto"/>
            <w:noWrap w:val="0"/>
            <w:vAlign w:val="center"/>
          </w:tcPr>
          <w:p w14:paraId="629B834F">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台班</w:t>
            </w:r>
          </w:p>
        </w:tc>
        <w:tc>
          <w:tcPr>
            <w:tcW w:w="1090" w:type="dxa"/>
            <w:shd w:val="clear" w:color="auto" w:fill="auto"/>
            <w:noWrap w:val="0"/>
            <w:vAlign w:val="center"/>
          </w:tcPr>
          <w:p w14:paraId="395DEF32">
            <w:pPr>
              <w:keepNext w:val="0"/>
              <w:keepLines w:val="0"/>
              <w:pageBreakBefore w:val="0"/>
              <w:widowControl/>
              <w:numPr>
                <w:ilvl w:val="0"/>
                <w:numId w:val="0"/>
              </w:numPr>
              <w:kinsoku/>
              <w:wordWrap/>
              <w:overflowPunct/>
              <w:topLinePunct w:val="0"/>
              <w:autoSpaceDE/>
              <w:autoSpaceDN/>
              <w:bidi w:val="0"/>
              <w:adjustRightInd/>
              <w:snapToGrid/>
              <w:spacing w:line="240" w:lineRule="exact"/>
              <w:ind w:left="0" w:leftChars="0" w:firstLine="0" w:firstLineChars="0"/>
              <w:jc w:val="center"/>
              <w:rPr>
                <w:rFonts w:hint="default"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20</w:t>
            </w:r>
          </w:p>
        </w:tc>
        <w:tc>
          <w:tcPr>
            <w:tcW w:w="1712" w:type="dxa"/>
            <w:shd w:val="clear" w:color="auto" w:fill="auto"/>
            <w:noWrap w:val="0"/>
            <w:vAlign w:val="center"/>
          </w:tcPr>
          <w:p w14:paraId="7A81FA9A">
            <w:pPr>
              <w:jc w:val="center"/>
              <w:rPr>
                <w:rFonts w:hint="eastAsia" w:ascii="仿宋" w:hAnsi="仿宋" w:eastAsia="仿宋" w:cs="仿宋"/>
                <w:kern w:val="2"/>
                <w:sz w:val="24"/>
                <w:szCs w:val="32"/>
                <w:lang w:val="en-US" w:eastAsia="zh-CN" w:bidi="ar-SA"/>
              </w:rPr>
            </w:pPr>
            <w:r>
              <w:rPr>
                <w:rFonts w:hint="eastAsia" w:ascii="仿宋" w:hAnsi="仿宋" w:eastAsia="仿宋" w:cs="仿宋"/>
                <w:sz w:val="24"/>
                <w:szCs w:val="32"/>
                <w:highlight w:val="none"/>
                <w:lang w:val="en-US" w:eastAsia="zh-CN"/>
              </w:rPr>
              <w:t>900元/台班</w:t>
            </w:r>
          </w:p>
        </w:tc>
        <w:tc>
          <w:tcPr>
            <w:tcW w:w="1500" w:type="dxa"/>
            <w:noWrap w:val="0"/>
            <w:vAlign w:val="center"/>
          </w:tcPr>
          <w:p w14:paraId="7E5ED3A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46" w:type="dxa"/>
            <w:noWrap w:val="0"/>
            <w:vAlign w:val="center"/>
          </w:tcPr>
          <w:p w14:paraId="077F77B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6287975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1838B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702" w:type="dxa"/>
            <w:noWrap w:val="0"/>
            <w:vAlign w:val="center"/>
          </w:tcPr>
          <w:p w14:paraId="6E42FF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10</w:t>
            </w:r>
          </w:p>
        </w:tc>
        <w:tc>
          <w:tcPr>
            <w:tcW w:w="1287" w:type="dxa"/>
            <w:shd w:val="clear" w:color="auto" w:fill="auto"/>
            <w:noWrap w:val="0"/>
            <w:vAlign w:val="center"/>
          </w:tcPr>
          <w:p w14:paraId="7F97D4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color w:val="000000"/>
                <w:kern w:val="0"/>
                <w:sz w:val="22"/>
                <w:szCs w:val="22"/>
                <w:highlight w:val="none"/>
                <w:u w:val="none"/>
                <w:lang w:val="en-US" w:eastAsia="zh-CN" w:bidi="ar"/>
              </w:rPr>
              <w:t>农用车</w:t>
            </w:r>
          </w:p>
        </w:tc>
        <w:tc>
          <w:tcPr>
            <w:tcW w:w="1643" w:type="dxa"/>
            <w:shd w:val="clear" w:color="auto" w:fill="auto"/>
            <w:noWrap w:val="0"/>
            <w:vAlign w:val="center"/>
          </w:tcPr>
          <w:p w14:paraId="2F414A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i w:val="0"/>
                <w:color w:val="000000"/>
                <w:kern w:val="2"/>
                <w:sz w:val="22"/>
                <w:szCs w:val="22"/>
                <w:u w:val="none"/>
                <w:lang w:val="en-US" w:eastAsia="zh-CN" w:bidi="ar-SA"/>
              </w:rPr>
            </w:pPr>
            <w:r>
              <w:rPr>
                <w:rFonts w:hint="eastAsia" w:ascii="仿宋" w:hAnsi="仿宋" w:eastAsia="仿宋" w:cs="仿宋"/>
                <w:i w:val="0"/>
                <w:color w:val="000000"/>
                <w:kern w:val="0"/>
                <w:sz w:val="22"/>
                <w:szCs w:val="22"/>
                <w:highlight w:val="none"/>
                <w:u w:val="none"/>
                <w:lang w:val="en-US" w:eastAsia="zh-CN" w:bidi="ar"/>
              </w:rPr>
              <w:t>斗容量8</w:t>
            </w:r>
            <w:r>
              <w:rPr>
                <w:rFonts w:hint="eastAsia" w:ascii="仿宋" w:hAnsi="仿宋" w:eastAsia="仿宋" w:cs="仿宋"/>
                <w:i w:val="0"/>
                <w:color w:val="000000"/>
                <w:kern w:val="0"/>
                <w:sz w:val="24"/>
                <w:szCs w:val="24"/>
                <w:highlight w:val="none"/>
                <w:u w:val="none"/>
                <w:lang w:val="en-US" w:eastAsia="zh-CN" w:bidi="ar"/>
              </w:rPr>
              <w:t>m</w:t>
            </w:r>
            <w:r>
              <w:rPr>
                <w:rFonts w:hint="eastAsia" w:ascii="仿宋" w:hAnsi="仿宋" w:eastAsia="仿宋" w:cs="仿宋"/>
                <w:i w:val="0"/>
                <w:color w:val="000000"/>
                <w:kern w:val="0"/>
                <w:sz w:val="24"/>
                <w:szCs w:val="24"/>
                <w:highlight w:val="none"/>
                <w:u w:val="none"/>
                <w:vertAlign w:val="superscript"/>
                <w:lang w:val="en-US" w:eastAsia="zh-CN" w:bidi="ar"/>
              </w:rPr>
              <w:t>3</w:t>
            </w:r>
          </w:p>
        </w:tc>
        <w:tc>
          <w:tcPr>
            <w:tcW w:w="2464" w:type="dxa"/>
            <w:shd w:val="clear" w:color="auto" w:fill="auto"/>
            <w:noWrap w:val="0"/>
            <w:vAlign w:val="center"/>
          </w:tcPr>
          <w:p w14:paraId="62B2E060">
            <w:pPr>
              <w:keepNext w:val="0"/>
              <w:keepLines w:val="0"/>
              <w:widowControl/>
              <w:numPr>
                <w:ilvl w:val="0"/>
                <w:numId w:val="0"/>
              </w:numPr>
              <w:suppressLineNumbers w:val="0"/>
              <w:ind w:left="0" w:leftChars="0" w:firstLine="0" w:firstLineChars="0"/>
              <w:jc w:val="left"/>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土方场内倒运</w:t>
            </w:r>
          </w:p>
        </w:tc>
        <w:tc>
          <w:tcPr>
            <w:tcW w:w="1000" w:type="dxa"/>
            <w:shd w:val="clear" w:color="auto" w:fill="auto"/>
            <w:noWrap w:val="0"/>
            <w:vAlign w:val="center"/>
          </w:tcPr>
          <w:p w14:paraId="7EB924B4">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台班</w:t>
            </w:r>
          </w:p>
        </w:tc>
        <w:tc>
          <w:tcPr>
            <w:tcW w:w="1090" w:type="dxa"/>
            <w:shd w:val="clear" w:color="auto" w:fill="auto"/>
            <w:noWrap w:val="0"/>
            <w:vAlign w:val="center"/>
          </w:tcPr>
          <w:p w14:paraId="3950494E">
            <w:pPr>
              <w:keepNext w:val="0"/>
              <w:keepLines w:val="0"/>
              <w:pageBreakBefore w:val="0"/>
              <w:widowControl/>
              <w:numPr>
                <w:ilvl w:val="0"/>
                <w:numId w:val="0"/>
              </w:numPr>
              <w:kinsoku/>
              <w:wordWrap/>
              <w:overflowPunct/>
              <w:topLinePunct w:val="0"/>
              <w:autoSpaceDE/>
              <w:autoSpaceDN/>
              <w:bidi w:val="0"/>
              <w:adjustRightInd/>
              <w:snapToGrid/>
              <w:spacing w:line="240" w:lineRule="exact"/>
              <w:ind w:left="0" w:leftChars="0" w:firstLine="0" w:firstLineChars="0"/>
              <w:jc w:val="center"/>
              <w:rPr>
                <w:rFonts w:hint="default"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40</w:t>
            </w:r>
          </w:p>
        </w:tc>
        <w:tc>
          <w:tcPr>
            <w:tcW w:w="1712" w:type="dxa"/>
            <w:shd w:val="clear" w:color="auto" w:fill="auto"/>
            <w:noWrap w:val="0"/>
            <w:vAlign w:val="center"/>
          </w:tcPr>
          <w:p w14:paraId="103BF5A8">
            <w:pPr>
              <w:jc w:val="center"/>
              <w:rPr>
                <w:rFonts w:hint="eastAsia" w:ascii="仿宋" w:hAnsi="仿宋" w:eastAsia="仿宋" w:cs="仿宋"/>
                <w:kern w:val="2"/>
                <w:sz w:val="24"/>
                <w:szCs w:val="32"/>
                <w:lang w:val="en-US" w:eastAsia="zh-CN" w:bidi="ar-SA"/>
              </w:rPr>
            </w:pPr>
            <w:r>
              <w:rPr>
                <w:rFonts w:hint="eastAsia" w:ascii="仿宋" w:hAnsi="仿宋" w:eastAsia="仿宋" w:cs="仿宋"/>
                <w:sz w:val="24"/>
                <w:szCs w:val="32"/>
                <w:highlight w:val="none"/>
                <w:lang w:val="en-US" w:eastAsia="zh-CN"/>
              </w:rPr>
              <w:t>528元/台班</w:t>
            </w:r>
          </w:p>
        </w:tc>
        <w:tc>
          <w:tcPr>
            <w:tcW w:w="1500" w:type="dxa"/>
            <w:noWrap w:val="0"/>
            <w:vAlign w:val="center"/>
          </w:tcPr>
          <w:p w14:paraId="2B80FF9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46" w:type="dxa"/>
            <w:noWrap w:val="0"/>
            <w:vAlign w:val="center"/>
          </w:tcPr>
          <w:p w14:paraId="55E5D97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64FDC23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0AB0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jc w:val="center"/>
        </w:trPr>
        <w:tc>
          <w:tcPr>
            <w:tcW w:w="7096" w:type="dxa"/>
            <w:gridSpan w:val="5"/>
            <w:noWrap w:val="0"/>
            <w:vAlign w:val="center"/>
          </w:tcPr>
          <w:p w14:paraId="0DB8B304">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公司指导价合计</w:t>
            </w:r>
          </w:p>
        </w:tc>
        <w:tc>
          <w:tcPr>
            <w:tcW w:w="2802" w:type="dxa"/>
            <w:gridSpan w:val="2"/>
            <w:noWrap w:val="0"/>
            <w:vAlign w:val="center"/>
          </w:tcPr>
          <w:p w14:paraId="0E52217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158920.00元</w:t>
            </w:r>
          </w:p>
        </w:tc>
        <w:tc>
          <w:tcPr>
            <w:tcW w:w="1500" w:type="dxa"/>
            <w:noWrap w:val="0"/>
            <w:vAlign w:val="center"/>
          </w:tcPr>
          <w:p w14:paraId="14F3628C">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color w:val="000000"/>
                <w:sz w:val="24"/>
                <w:szCs w:val="24"/>
                <w:lang w:eastAsia="zh-CN"/>
              </w:rPr>
              <w:t>报价合计</w:t>
            </w:r>
          </w:p>
        </w:tc>
        <w:tc>
          <w:tcPr>
            <w:tcW w:w="1746" w:type="dxa"/>
            <w:noWrap w:val="0"/>
            <w:vAlign w:val="center"/>
          </w:tcPr>
          <w:p w14:paraId="615DE9C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p>
        </w:tc>
        <w:tc>
          <w:tcPr>
            <w:tcW w:w="1595" w:type="dxa"/>
            <w:noWrap w:val="0"/>
            <w:vAlign w:val="center"/>
          </w:tcPr>
          <w:p w14:paraId="2B8E3A90">
            <w:pPr>
              <w:jc w:val="center"/>
              <w:rPr>
                <w:rFonts w:hint="eastAsia" w:ascii="仿宋" w:hAnsi="仿宋" w:eastAsia="仿宋" w:cs="仿宋"/>
                <w:color w:val="000000"/>
                <w:szCs w:val="21"/>
                <w:lang w:val="en-US" w:eastAsia="zh-CN"/>
              </w:rPr>
            </w:pPr>
          </w:p>
        </w:tc>
      </w:tr>
      <w:tr w14:paraId="01C2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739" w:type="dxa"/>
            <w:gridSpan w:val="10"/>
            <w:noWrap w:val="0"/>
            <w:vAlign w:val="center"/>
          </w:tcPr>
          <w:p w14:paraId="6653267A">
            <w:pPr>
              <w:widowControl/>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32253899">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1、以上为暂估工程量；成交人需严格按甲方出具的施工图或招标清单中的工作内容进行施工，工程量按实际完成量及不超过甲方同业主结算量进行结算。（</w:t>
            </w:r>
            <w:r>
              <w:rPr>
                <w:rFonts w:hint="eastAsia" w:ascii="仿宋" w:hAnsi="仿宋" w:eastAsia="仿宋" w:cs="仿宋"/>
                <w:color w:val="FF0000"/>
                <w:kern w:val="0"/>
                <w:sz w:val="21"/>
                <w:szCs w:val="21"/>
                <w:lang w:val="en-US" w:eastAsia="zh-CN" w:bidi="ar"/>
              </w:rPr>
              <w:t>本工程招标的工程量，由项目部依据建设单位所提供的施工图纸进行预估，实际工作量可能会因图纸变更、现场条件等发生变化。若工程量发生减少，仍旧执行此单价，供应商需充分考虑；</w:t>
            </w:r>
            <w:r>
              <w:rPr>
                <w:rFonts w:hint="eastAsia" w:ascii="仿宋" w:hAnsi="仿宋" w:eastAsia="仿宋" w:cs="仿宋"/>
                <w:color w:val="auto"/>
                <w:kern w:val="0"/>
                <w:sz w:val="21"/>
                <w:szCs w:val="21"/>
                <w:lang w:val="en-US" w:eastAsia="zh-CN" w:bidi="ar"/>
              </w:rPr>
              <w:t>）</w:t>
            </w:r>
          </w:p>
          <w:p w14:paraId="51FE6F8B">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；碴土证办理、业主方关系协调等，为此项工作内容施工发生的发生的一切费用。</w:t>
            </w:r>
          </w:p>
          <w:p w14:paraId="1271844B">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2"/>
                <w:szCs w:val="22"/>
              </w:rPr>
            </w:pPr>
            <w:r>
              <w:rPr>
                <w:rFonts w:hint="eastAsia" w:ascii="仿宋" w:hAnsi="仿宋" w:eastAsia="仿宋" w:cs="仿宋"/>
                <w:color w:val="auto"/>
                <w:kern w:val="0"/>
                <w:sz w:val="21"/>
                <w:szCs w:val="21"/>
                <w:lang w:val="en-US" w:eastAsia="zh-CN" w:bidi="ar"/>
              </w:rPr>
              <w:t>3、</w:t>
            </w:r>
            <w:r>
              <w:rPr>
                <w:rFonts w:hint="eastAsia" w:ascii="仿宋" w:hAnsi="仿宋" w:eastAsia="仿宋" w:cs="仿宋"/>
                <w:color w:val="auto"/>
                <w:kern w:val="0"/>
                <w:sz w:val="22"/>
                <w:szCs w:val="22"/>
                <w:shd w:val="clear" w:color="auto" w:fill="FFFFFF"/>
                <w:lang w:val="en-US" w:eastAsia="zh-CN" w:bidi="ar"/>
              </w:rPr>
              <w:t>乙方开具相应合法有效的增值税专用发票。</w:t>
            </w:r>
          </w:p>
          <w:p w14:paraId="11386979">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4、如果施工中对我单位施工完成的工程进行破坏，将按照发生的施工一切费用100%进行处罚。</w:t>
            </w:r>
          </w:p>
          <w:p w14:paraId="59F3830B">
            <w:pPr>
              <w:widowControl/>
              <w:autoSpaceDE w:val="0"/>
              <w:spacing w:line="360" w:lineRule="exact"/>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63B5E327">
      <w:pPr>
        <w:spacing w:line="400" w:lineRule="exact"/>
        <w:rPr>
          <w:rFonts w:hint="eastAsia" w:ascii="仿宋" w:hAnsi="仿宋" w:eastAsia="仿宋" w:cs="仿宋"/>
          <w:sz w:val="28"/>
          <w:szCs w:val="28"/>
          <w:lang w:eastAsia="zh-CN"/>
        </w:rPr>
      </w:pPr>
    </w:p>
    <w:p w14:paraId="04754E1A">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p>
    <w:p w14:paraId="35AA7211">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（签字）                                  </w:t>
      </w:r>
    </w:p>
    <w:p w14:paraId="742A1C2E">
      <w:pPr>
        <w:pStyle w:val="55"/>
        <w:ind w:left="0" w:leftChars="0" w:firstLine="8265" w:firstLineChars="2900"/>
        <w:rPr>
          <w:rFonts w:hint="eastAsia" w:ascii="仿宋" w:hAnsi="仿宋" w:eastAsia="仿宋" w:cs="仿宋"/>
          <w:sz w:val="24"/>
          <w:szCs w:val="24"/>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年    月    日  </w:t>
      </w:r>
    </w:p>
    <w:sectPr>
      <w:pgSz w:w="16838" w:h="11906" w:orient="landscape"/>
      <w:pgMar w:top="1468" w:right="1417" w:bottom="1338"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D622C">
    <w:pPr>
      <w:pStyle w:val="29"/>
      <w:jc w:val="center"/>
    </w:pPr>
  </w:p>
  <w:p w14:paraId="4EBCBE83">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F6B8E">
    <w:pPr>
      <w:pStyle w:val="29"/>
      <w:framePr w:wrap="around" w:vAnchor="text" w:hAnchor="margin" w:xAlign="right" w:y="1"/>
      <w:rPr>
        <w:rStyle w:val="49"/>
      </w:rPr>
    </w:pPr>
    <w:r>
      <w:fldChar w:fldCharType="begin"/>
    </w:r>
    <w:r>
      <w:rPr>
        <w:rStyle w:val="49"/>
      </w:rPr>
      <w:instrText xml:space="preserve">PAGE  </w:instrText>
    </w:r>
    <w:r>
      <w:fldChar w:fldCharType="end"/>
    </w:r>
  </w:p>
  <w:p w14:paraId="600E6306">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5942B">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9CBB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0315A4"/>
    <w:rsid w:val="025370AD"/>
    <w:rsid w:val="03980C9F"/>
    <w:rsid w:val="03E75026"/>
    <w:rsid w:val="04BB57CD"/>
    <w:rsid w:val="04CF6EEC"/>
    <w:rsid w:val="05103A0B"/>
    <w:rsid w:val="05BF33B5"/>
    <w:rsid w:val="084A3F14"/>
    <w:rsid w:val="091837BC"/>
    <w:rsid w:val="0A231745"/>
    <w:rsid w:val="0A9E1234"/>
    <w:rsid w:val="0AA7731A"/>
    <w:rsid w:val="0B1B65D7"/>
    <w:rsid w:val="0B2B537E"/>
    <w:rsid w:val="0BBA0AF6"/>
    <w:rsid w:val="0BEC5846"/>
    <w:rsid w:val="0BFF2A12"/>
    <w:rsid w:val="0C084B3C"/>
    <w:rsid w:val="0C3D1EB8"/>
    <w:rsid w:val="0C6241B2"/>
    <w:rsid w:val="0C742CC6"/>
    <w:rsid w:val="0D166265"/>
    <w:rsid w:val="0D2B4E23"/>
    <w:rsid w:val="0DCB52A1"/>
    <w:rsid w:val="0DDD049E"/>
    <w:rsid w:val="0E6F3E7F"/>
    <w:rsid w:val="0E745939"/>
    <w:rsid w:val="0E8044EC"/>
    <w:rsid w:val="0E876D2F"/>
    <w:rsid w:val="0EC82FD7"/>
    <w:rsid w:val="0EF425D6"/>
    <w:rsid w:val="0FAA00FB"/>
    <w:rsid w:val="10181623"/>
    <w:rsid w:val="11196324"/>
    <w:rsid w:val="122F7967"/>
    <w:rsid w:val="125E4C7B"/>
    <w:rsid w:val="12883761"/>
    <w:rsid w:val="12A820AD"/>
    <w:rsid w:val="14AE3227"/>
    <w:rsid w:val="1500314F"/>
    <w:rsid w:val="15721970"/>
    <w:rsid w:val="16D01498"/>
    <w:rsid w:val="172F68A1"/>
    <w:rsid w:val="178D16D0"/>
    <w:rsid w:val="17D86D23"/>
    <w:rsid w:val="1830291B"/>
    <w:rsid w:val="187417C5"/>
    <w:rsid w:val="18AF15FD"/>
    <w:rsid w:val="198C1092"/>
    <w:rsid w:val="19CA6206"/>
    <w:rsid w:val="1A2F05AD"/>
    <w:rsid w:val="1AE5658C"/>
    <w:rsid w:val="1B7B6D63"/>
    <w:rsid w:val="1BBF797C"/>
    <w:rsid w:val="1C602FB9"/>
    <w:rsid w:val="1C865229"/>
    <w:rsid w:val="1CD221A8"/>
    <w:rsid w:val="1D6F4C43"/>
    <w:rsid w:val="1DEE2CCA"/>
    <w:rsid w:val="20191E9C"/>
    <w:rsid w:val="2037683E"/>
    <w:rsid w:val="20BD6CCC"/>
    <w:rsid w:val="20F57ADE"/>
    <w:rsid w:val="21A61547"/>
    <w:rsid w:val="225C0752"/>
    <w:rsid w:val="23FC26F5"/>
    <w:rsid w:val="246E6DF4"/>
    <w:rsid w:val="24F240EB"/>
    <w:rsid w:val="25590EC9"/>
    <w:rsid w:val="25F7787F"/>
    <w:rsid w:val="26211AAB"/>
    <w:rsid w:val="26996894"/>
    <w:rsid w:val="26A26CEB"/>
    <w:rsid w:val="26C40F4A"/>
    <w:rsid w:val="27F95E40"/>
    <w:rsid w:val="295D3061"/>
    <w:rsid w:val="29606D8E"/>
    <w:rsid w:val="299D4A4C"/>
    <w:rsid w:val="29A812EF"/>
    <w:rsid w:val="2A1902C2"/>
    <w:rsid w:val="2A9C0C1B"/>
    <w:rsid w:val="2C64541C"/>
    <w:rsid w:val="2C7C5C8D"/>
    <w:rsid w:val="2C995D0F"/>
    <w:rsid w:val="2D3E7816"/>
    <w:rsid w:val="2D774259"/>
    <w:rsid w:val="2F000DF7"/>
    <w:rsid w:val="2F065CE2"/>
    <w:rsid w:val="2F29557C"/>
    <w:rsid w:val="2F6C023B"/>
    <w:rsid w:val="30131353"/>
    <w:rsid w:val="30293393"/>
    <w:rsid w:val="306204E7"/>
    <w:rsid w:val="30D974B7"/>
    <w:rsid w:val="30E96026"/>
    <w:rsid w:val="311F3E7F"/>
    <w:rsid w:val="325A51BE"/>
    <w:rsid w:val="3289567B"/>
    <w:rsid w:val="333663C1"/>
    <w:rsid w:val="33703A4F"/>
    <w:rsid w:val="337445C0"/>
    <w:rsid w:val="339C621D"/>
    <w:rsid w:val="33D3159C"/>
    <w:rsid w:val="34284F5F"/>
    <w:rsid w:val="346848DB"/>
    <w:rsid w:val="34F52A80"/>
    <w:rsid w:val="353510CF"/>
    <w:rsid w:val="354F3A99"/>
    <w:rsid w:val="357B16F3"/>
    <w:rsid w:val="36050FAB"/>
    <w:rsid w:val="367256CF"/>
    <w:rsid w:val="373B612C"/>
    <w:rsid w:val="37AF03D6"/>
    <w:rsid w:val="37EE64F4"/>
    <w:rsid w:val="37FC4126"/>
    <w:rsid w:val="382E02B2"/>
    <w:rsid w:val="3872263A"/>
    <w:rsid w:val="39934616"/>
    <w:rsid w:val="39DC7C3B"/>
    <w:rsid w:val="3A3173ED"/>
    <w:rsid w:val="3A4E69FC"/>
    <w:rsid w:val="3A5B4645"/>
    <w:rsid w:val="3A7A3727"/>
    <w:rsid w:val="3AE80991"/>
    <w:rsid w:val="3B076549"/>
    <w:rsid w:val="3B645DB3"/>
    <w:rsid w:val="3C5B75D3"/>
    <w:rsid w:val="3C7823C8"/>
    <w:rsid w:val="3DC57BD0"/>
    <w:rsid w:val="3DCC4487"/>
    <w:rsid w:val="3E474521"/>
    <w:rsid w:val="3F1F079B"/>
    <w:rsid w:val="3F8D52CA"/>
    <w:rsid w:val="40C47A67"/>
    <w:rsid w:val="414D3E27"/>
    <w:rsid w:val="41525675"/>
    <w:rsid w:val="41B46B47"/>
    <w:rsid w:val="424B79E0"/>
    <w:rsid w:val="4252770E"/>
    <w:rsid w:val="42A70A2B"/>
    <w:rsid w:val="42F63800"/>
    <w:rsid w:val="4304767F"/>
    <w:rsid w:val="434963F7"/>
    <w:rsid w:val="439F612A"/>
    <w:rsid w:val="43C84B06"/>
    <w:rsid w:val="441344E9"/>
    <w:rsid w:val="44842956"/>
    <w:rsid w:val="449E657A"/>
    <w:rsid w:val="44B922E9"/>
    <w:rsid w:val="454315E6"/>
    <w:rsid w:val="45EF7078"/>
    <w:rsid w:val="46045E94"/>
    <w:rsid w:val="465E02D2"/>
    <w:rsid w:val="466979AB"/>
    <w:rsid w:val="471400CF"/>
    <w:rsid w:val="47944AB8"/>
    <w:rsid w:val="48BF72F3"/>
    <w:rsid w:val="490E63A6"/>
    <w:rsid w:val="499C3073"/>
    <w:rsid w:val="499D4ACB"/>
    <w:rsid w:val="49EC0EA9"/>
    <w:rsid w:val="4A1C7E79"/>
    <w:rsid w:val="4ABB0329"/>
    <w:rsid w:val="4CBA4AF2"/>
    <w:rsid w:val="4CEB320D"/>
    <w:rsid w:val="4D0647CF"/>
    <w:rsid w:val="4D9F7BB9"/>
    <w:rsid w:val="4E822997"/>
    <w:rsid w:val="4ED20DFA"/>
    <w:rsid w:val="4F0F5DA2"/>
    <w:rsid w:val="4F397E6D"/>
    <w:rsid w:val="504C2BE7"/>
    <w:rsid w:val="51825669"/>
    <w:rsid w:val="51B50E5A"/>
    <w:rsid w:val="51F67AC6"/>
    <w:rsid w:val="522C3B55"/>
    <w:rsid w:val="52534714"/>
    <w:rsid w:val="526C1FF2"/>
    <w:rsid w:val="5322748C"/>
    <w:rsid w:val="53810440"/>
    <w:rsid w:val="554830C1"/>
    <w:rsid w:val="56300C76"/>
    <w:rsid w:val="5641748B"/>
    <w:rsid w:val="56424FA2"/>
    <w:rsid w:val="56B4262E"/>
    <w:rsid w:val="573963A5"/>
    <w:rsid w:val="57715B3F"/>
    <w:rsid w:val="579C59EC"/>
    <w:rsid w:val="5807041D"/>
    <w:rsid w:val="583F79D3"/>
    <w:rsid w:val="58691989"/>
    <w:rsid w:val="58C048EF"/>
    <w:rsid w:val="58C6010C"/>
    <w:rsid w:val="58F960F8"/>
    <w:rsid w:val="59415768"/>
    <w:rsid w:val="594F7761"/>
    <w:rsid w:val="59672964"/>
    <w:rsid w:val="59900C4D"/>
    <w:rsid w:val="59C935F6"/>
    <w:rsid w:val="5A251A57"/>
    <w:rsid w:val="5A947382"/>
    <w:rsid w:val="5ABC477B"/>
    <w:rsid w:val="5AD47530"/>
    <w:rsid w:val="5BCF72D8"/>
    <w:rsid w:val="5C1E1084"/>
    <w:rsid w:val="5C775650"/>
    <w:rsid w:val="5C974AF9"/>
    <w:rsid w:val="5CF3349A"/>
    <w:rsid w:val="5D2E44D2"/>
    <w:rsid w:val="5D6F64C5"/>
    <w:rsid w:val="5E4044BD"/>
    <w:rsid w:val="5ED81A2D"/>
    <w:rsid w:val="5F797C86"/>
    <w:rsid w:val="601B5879"/>
    <w:rsid w:val="60F035C2"/>
    <w:rsid w:val="610267D6"/>
    <w:rsid w:val="616C0C8E"/>
    <w:rsid w:val="61AB07CC"/>
    <w:rsid w:val="624F4CCE"/>
    <w:rsid w:val="626C4E3A"/>
    <w:rsid w:val="62B53CBA"/>
    <w:rsid w:val="63584057"/>
    <w:rsid w:val="63DD2403"/>
    <w:rsid w:val="63E45615"/>
    <w:rsid w:val="642E3C33"/>
    <w:rsid w:val="646474F6"/>
    <w:rsid w:val="6502071E"/>
    <w:rsid w:val="66131908"/>
    <w:rsid w:val="66CB6466"/>
    <w:rsid w:val="66E03A9F"/>
    <w:rsid w:val="66F57FEB"/>
    <w:rsid w:val="67445ADA"/>
    <w:rsid w:val="67D15122"/>
    <w:rsid w:val="68761B8F"/>
    <w:rsid w:val="693602C7"/>
    <w:rsid w:val="693E20EC"/>
    <w:rsid w:val="69AD4D95"/>
    <w:rsid w:val="69E60D0A"/>
    <w:rsid w:val="6A315ABB"/>
    <w:rsid w:val="6A87598F"/>
    <w:rsid w:val="6A9A513C"/>
    <w:rsid w:val="6AED777A"/>
    <w:rsid w:val="6B1F2406"/>
    <w:rsid w:val="6B302BB3"/>
    <w:rsid w:val="6B4F21E3"/>
    <w:rsid w:val="6B9B2799"/>
    <w:rsid w:val="6C5C5C5B"/>
    <w:rsid w:val="6C717289"/>
    <w:rsid w:val="6CB653F2"/>
    <w:rsid w:val="6D505D9E"/>
    <w:rsid w:val="6E4C64BB"/>
    <w:rsid w:val="6EAE74F5"/>
    <w:rsid w:val="6EC238BC"/>
    <w:rsid w:val="6F0B6C96"/>
    <w:rsid w:val="6F2A019B"/>
    <w:rsid w:val="6F6A27B8"/>
    <w:rsid w:val="6FE32681"/>
    <w:rsid w:val="701F3363"/>
    <w:rsid w:val="703849D5"/>
    <w:rsid w:val="71091B6B"/>
    <w:rsid w:val="711712EF"/>
    <w:rsid w:val="71900E5F"/>
    <w:rsid w:val="73C05A2C"/>
    <w:rsid w:val="742F60FC"/>
    <w:rsid w:val="74924E27"/>
    <w:rsid w:val="749B0247"/>
    <w:rsid w:val="74B57A97"/>
    <w:rsid w:val="74C57072"/>
    <w:rsid w:val="75AB7FC4"/>
    <w:rsid w:val="75BA021D"/>
    <w:rsid w:val="76257065"/>
    <w:rsid w:val="766F01AC"/>
    <w:rsid w:val="76E067DC"/>
    <w:rsid w:val="779C6EAE"/>
    <w:rsid w:val="77DA2E34"/>
    <w:rsid w:val="780D7AF1"/>
    <w:rsid w:val="781C33ED"/>
    <w:rsid w:val="7833503D"/>
    <w:rsid w:val="787F1108"/>
    <w:rsid w:val="78986F77"/>
    <w:rsid w:val="78D61108"/>
    <w:rsid w:val="793439F5"/>
    <w:rsid w:val="796E3D99"/>
    <w:rsid w:val="7987181E"/>
    <w:rsid w:val="79BD5174"/>
    <w:rsid w:val="79EE2BC7"/>
    <w:rsid w:val="7A562872"/>
    <w:rsid w:val="7AB7E244"/>
    <w:rsid w:val="7AEE7323"/>
    <w:rsid w:val="7B8D7C88"/>
    <w:rsid w:val="7C252C88"/>
    <w:rsid w:val="7C7123FD"/>
    <w:rsid w:val="7C870086"/>
    <w:rsid w:val="7C9F3CAC"/>
    <w:rsid w:val="7CA53A11"/>
    <w:rsid w:val="7CE22FC4"/>
    <w:rsid w:val="7CF809B2"/>
    <w:rsid w:val="7CFE0DF7"/>
    <w:rsid w:val="7D007C96"/>
    <w:rsid w:val="7E065567"/>
    <w:rsid w:val="7ECE2AEB"/>
    <w:rsid w:val="7ECE3A16"/>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中国微软</Company>
  <Pages>9</Pages>
  <Words>3674</Words>
  <Characters>4072</Characters>
  <Lines>56</Lines>
  <Paragraphs>15</Paragraphs>
  <TotalTime>1</TotalTime>
  <ScaleCrop>false</ScaleCrop>
  <LinksUpToDate>false</LinksUpToDate>
  <CharactersWithSpaces>4354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梵麓</cp:lastModifiedBy>
  <cp:lastPrinted>2019-04-18T07:02:00Z</cp:lastPrinted>
  <dcterms:modified xsi:type="dcterms:W3CDTF">2025-06-26T03:12:54Z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F19D08C2DD054226A70AD001185DAF6A</vt:lpwstr>
  </property>
  <property fmtid="{D5CDD505-2E9C-101B-9397-08002B2CF9AE}" pid="4" name="KSOTemplateDocerSaveRecord">
    <vt:lpwstr>eyJoZGlkIjoiMzcxNzMyNTM5MTI3NTdmMjI2ODFlYjBhMGUyNjMxMDEiLCJ1c2VySWQiOiI1NTYxNTA2ODUifQ==</vt:lpwstr>
  </property>
</Properties>
</file>