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05F34E7">
      <w:pPr>
        <w:rPr>
          <w:rFonts w:hint="eastAsia" w:ascii="宋体" w:hAnsi="宋体" w:eastAsia="宋体" w:cs="宋体"/>
          <w:b/>
          <w:bCs/>
          <w:kern w:val="1"/>
          <w:sz w:val="40"/>
          <w:szCs w:val="40"/>
        </w:rPr>
      </w:pPr>
    </w:p>
    <w:p w14:paraId="5B5CE894">
      <w:pPr>
        <w:rPr>
          <w:rFonts w:hint="eastAsia" w:ascii="宋体" w:hAnsi="宋体" w:eastAsia="宋体" w:cs="宋体"/>
          <w:b/>
          <w:bCs/>
          <w:kern w:val="1"/>
          <w:sz w:val="40"/>
          <w:szCs w:val="40"/>
        </w:rPr>
      </w:pPr>
    </w:p>
    <w:p w14:paraId="28E72826">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r>
        <w:rPr>
          <w:rFonts w:hint="eastAsia" w:asciiTheme="minorEastAsia" w:hAnsiTheme="minorEastAsia" w:eastAsiaTheme="minorEastAsia" w:cstheme="minorEastAsia"/>
          <w:b w:val="0"/>
          <w:bCs w:val="0"/>
          <w:color w:val="auto"/>
          <w:kern w:val="2"/>
          <w:sz w:val="36"/>
          <w:szCs w:val="36"/>
          <w:lang w:val="en-US" w:eastAsia="zh-CN" w:bidi="ar-SA"/>
        </w:rPr>
        <w:t>第二建筑工程事业部--汽车起重机（机械询比采购）</w:t>
      </w:r>
    </w:p>
    <w:p w14:paraId="04C82FB4">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36</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31CAD424">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rPr>
        <w:t>根据公司2025年</w:t>
      </w:r>
      <w:r>
        <w:rPr>
          <w:rFonts w:hint="eastAsia" w:ascii="仿宋" w:hAnsi="仿宋" w:eastAsia="仿宋" w:cs="仿宋"/>
          <w:lang w:val="en-US" w:eastAsia="zh-CN"/>
        </w:rPr>
        <w:t>0</w:t>
      </w:r>
      <w:r>
        <w:rPr>
          <w:rFonts w:hint="eastAsia" w:ascii="仿宋" w:hAnsi="仿宋" w:eastAsia="仿宋" w:cs="仿宋"/>
        </w:rPr>
        <w:t>3日起实施的《铜冠建安公司采购管理办法》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第二建筑工程事业部</w:t>
      </w:r>
      <w:r>
        <w:rPr>
          <w:rFonts w:hint="eastAsia" w:ascii="仿宋" w:hAnsi="仿宋" w:eastAsia="仿宋" w:cs="仿宋"/>
        </w:rPr>
        <w:t>通过公司外网平台组织</w:t>
      </w:r>
      <w:r>
        <w:rPr>
          <w:rFonts w:hint="eastAsia" w:ascii="仿宋" w:hAnsi="仿宋" w:eastAsia="仿宋" w:cs="仿宋"/>
          <w:b w:val="0"/>
          <w:bCs w:val="0"/>
          <w:kern w:val="1"/>
          <w:sz w:val="24"/>
          <w:szCs w:val="24"/>
        </w:rPr>
        <w:t>第二建筑工程事业部--</w:t>
      </w:r>
      <w:r>
        <w:rPr>
          <w:rFonts w:hint="eastAsia" w:ascii="仿宋" w:hAnsi="仿宋" w:eastAsia="仿宋" w:cs="仿宋"/>
          <w:b w:val="0"/>
          <w:bCs w:val="0"/>
          <w:kern w:val="1"/>
          <w:sz w:val="24"/>
          <w:szCs w:val="24"/>
          <w:lang w:val="en-US" w:eastAsia="zh-CN"/>
        </w:rPr>
        <w:t>汽车起重机</w:t>
      </w:r>
      <w:r>
        <w:rPr>
          <w:rFonts w:hint="eastAsia" w:ascii="仿宋" w:hAnsi="仿宋" w:eastAsia="仿宋" w:cs="仿宋"/>
          <w:b w:val="0"/>
          <w:bCs w:val="0"/>
          <w:kern w:val="1"/>
          <w:sz w:val="24"/>
          <w:szCs w:val="24"/>
        </w:rPr>
        <w:t>（机械询比采购）</w:t>
      </w:r>
      <w:r>
        <w:rPr>
          <w:rFonts w:hint="eastAsia" w:ascii="仿宋" w:hAnsi="仿宋" w:eastAsia="仿宋" w:cs="仿宋"/>
        </w:rPr>
        <w:t>。 </w:t>
      </w:r>
    </w:p>
    <w:p w14:paraId="412A0292">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28F055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277A6B5">
      <w:pPr>
        <w:spacing w:line="360" w:lineRule="auto"/>
        <w:jc w:val="center"/>
        <w:rPr>
          <w:rFonts w:hint="eastAsia" w:ascii="仿宋" w:hAnsi="仿宋" w:eastAsia="仿宋" w:cs="仿宋"/>
          <w:b/>
          <w:sz w:val="36"/>
          <w:szCs w:val="36"/>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spacing w:line="360" w:lineRule="auto"/>
        <w:jc w:val="center"/>
        <w:rPr>
          <w:rFonts w:hint="eastAsia" w:ascii="仿宋" w:hAnsi="仿宋" w:eastAsia="仿宋" w:cs="仿宋"/>
          <w:b/>
          <w:sz w:val="24"/>
          <w:szCs w:val="24"/>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b w:val="0"/>
          <w:bCs w:val="0"/>
          <w:kern w:val="1"/>
          <w:sz w:val="24"/>
          <w:szCs w:val="24"/>
          <w:u w:val="single"/>
        </w:rPr>
        <w:t>第二建筑工程事业部--</w:t>
      </w:r>
      <w:r>
        <w:rPr>
          <w:rFonts w:hint="eastAsia" w:ascii="仿宋" w:hAnsi="仿宋" w:eastAsia="仿宋" w:cs="仿宋"/>
          <w:b w:val="0"/>
          <w:bCs w:val="0"/>
          <w:kern w:val="1"/>
          <w:sz w:val="24"/>
          <w:szCs w:val="24"/>
          <w:u w:val="single"/>
          <w:lang w:val="en-US" w:eastAsia="zh-CN"/>
        </w:rPr>
        <w:t>汽车起重机</w:t>
      </w:r>
      <w:r>
        <w:rPr>
          <w:rFonts w:hint="eastAsia" w:ascii="仿宋" w:hAnsi="仿宋" w:eastAsia="仿宋" w:cs="仿宋"/>
          <w:b w:val="0"/>
          <w:bCs w:val="0"/>
          <w:kern w:val="1"/>
          <w:sz w:val="24"/>
          <w:szCs w:val="24"/>
          <w:u w:val="single"/>
        </w:rPr>
        <w:t>（机械询比采购）</w:t>
      </w:r>
      <w:r>
        <w:rPr>
          <w:rFonts w:hint="eastAsia" w:ascii="仿宋" w:hAnsi="仿宋" w:eastAsia="仿宋" w:cs="仿宋"/>
          <w:b w:val="0"/>
          <w:bCs w:val="0"/>
          <w:color w:val="auto"/>
          <w:sz w:val="24"/>
          <w:szCs w:val="24"/>
          <w:u w:val="single"/>
          <w:lang w:val="en-US" w:eastAsia="zh-CN"/>
        </w:rPr>
        <w:t>（详见报价表）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询比采购承租方无法</w:t>
      </w:r>
      <w:r>
        <w:rPr>
          <w:rFonts w:hint="eastAsia" w:ascii="仿宋" w:hAnsi="仿宋" w:eastAsia="仿宋" w:cs="仿宋"/>
          <w:sz w:val="24"/>
          <w:szCs w:val="24"/>
          <w:u w:val="single"/>
        </w:rPr>
        <w:t>在现有条件下</w:t>
      </w:r>
      <w:r>
        <w:rPr>
          <w:rFonts w:hint="eastAsia" w:ascii="仿宋" w:hAnsi="仿宋" w:eastAsia="仿宋" w:cs="仿宋"/>
          <w:sz w:val="24"/>
          <w:szCs w:val="24"/>
          <w:u w:val="single"/>
          <w:lang w:val="en-US" w:eastAsia="zh-CN"/>
        </w:rPr>
        <w:t>预估工程</w:t>
      </w:r>
      <w:r>
        <w:rPr>
          <w:rFonts w:hint="eastAsia" w:ascii="仿宋" w:hAnsi="仿宋" w:eastAsia="仿宋" w:cs="仿宋"/>
          <w:sz w:val="24"/>
          <w:szCs w:val="24"/>
          <w:u w:val="single"/>
        </w:rPr>
        <w:t>量，</w:t>
      </w:r>
      <w:r>
        <w:rPr>
          <w:rFonts w:hint="eastAsia" w:ascii="仿宋" w:hAnsi="仿宋" w:eastAsia="仿宋" w:cs="仿宋"/>
          <w:sz w:val="24"/>
          <w:szCs w:val="24"/>
          <w:u w:val="single"/>
          <w:lang w:val="en-US" w:eastAsia="zh-CN"/>
        </w:rPr>
        <w:t>故本次</w:t>
      </w:r>
      <w:r>
        <w:rPr>
          <w:rFonts w:hint="eastAsia" w:ascii="仿宋" w:hAnsi="仿宋" w:eastAsia="仿宋" w:cs="仿宋"/>
          <w:sz w:val="24"/>
          <w:szCs w:val="24"/>
          <w:u w:val="single"/>
        </w:rPr>
        <w:t>仅</w:t>
      </w:r>
      <w:r>
        <w:rPr>
          <w:rFonts w:hint="eastAsia" w:ascii="仿宋" w:hAnsi="仿宋" w:eastAsia="仿宋" w:cs="仿宋"/>
          <w:sz w:val="24"/>
          <w:szCs w:val="24"/>
          <w:u w:val="single"/>
          <w:lang w:val="en-US" w:eastAsia="zh-CN"/>
        </w:rPr>
        <w:t>设暂定合同金额</w:t>
      </w:r>
      <w:r>
        <w:rPr>
          <w:rFonts w:hint="eastAsia" w:ascii="仿宋" w:hAnsi="仿宋" w:eastAsia="仿宋" w:cs="仿宋"/>
          <w:sz w:val="24"/>
          <w:szCs w:val="24"/>
          <w:u w:val="single"/>
        </w:rPr>
        <w:t>作为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和签订合同的依据</w:t>
      </w:r>
      <w:r>
        <w:rPr>
          <w:rFonts w:hint="eastAsia" w:ascii="仿宋" w:hAnsi="仿宋" w:eastAsia="仿宋" w:cs="仿宋"/>
          <w:sz w:val="24"/>
          <w:szCs w:val="24"/>
        </w:rPr>
        <w:t>，不作为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21A7EBAE">
      <w:pPr>
        <w:pStyle w:val="55"/>
        <w:ind w:left="0" w:leftChars="0" w:firstLine="0" w:firstLineChars="0"/>
        <w:rPr>
          <w:rFonts w:hint="eastAsia"/>
          <w:sz w:val="40"/>
          <w:szCs w:val="48"/>
          <w:lang w:eastAsia="zh-CN"/>
        </w:rPr>
      </w:pPr>
    </w:p>
    <w:p w14:paraId="20522F45">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104332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3F7FF38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4D89F0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118B627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w:t>
      </w:r>
      <w:r>
        <w:rPr>
          <w:rFonts w:hint="eastAsia" w:ascii="仿宋" w:hAnsi="仿宋" w:eastAsia="仿宋" w:cs="仿宋"/>
          <w:sz w:val="24"/>
          <w:szCs w:val="24"/>
          <w:lang w:val="en-US" w:eastAsia="zh-CN"/>
        </w:rPr>
        <w:t>2025</w:t>
      </w:r>
      <w:r>
        <w:rPr>
          <w:rFonts w:hint="eastAsia" w:ascii="仿宋" w:hAnsi="仿宋" w:eastAsia="仿宋" w:cs="仿宋"/>
          <w:sz w:val="24"/>
          <w:szCs w:val="24"/>
        </w:rPr>
        <w:t>年度机械合格供应入库名单内。</w:t>
      </w:r>
    </w:p>
    <w:p w14:paraId="51B10B5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23BEACB2">
      <w:pPr>
        <w:pStyle w:val="55"/>
        <w:spacing w:line="360" w:lineRule="auto"/>
        <w:rPr>
          <w:rFonts w:hint="eastAsia" w:ascii="仿宋" w:hAnsi="仿宋" w:eastAsia="仿宋" w:cs="仿宋"/>
          <w:sz w:val="48"/>
          <w:szCs w:val="48"/>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w:t>
      </w:r>
      <w:r>
        <w:rPr>
          <w:rFonts w:hint="eastAsia" w:ascii="仿宋" w:hAnsi="仿宋" w:eastAsia="仿宋" w:cs="仿宋"/>
          <w:sz w:val="24"/>
          <w:szCs w:val="24"/>
          <w:u w:val="single"/>
        </w:rPr>
        <w:t>铜冠建筑安装股份有限公司网（http://www.tltgja.com.cn/）在线</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机械询比采购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810" w:firstLineChars="200"/>
        <w:rPr>
          <w:rFonts w:hint="eastAsia" w:ascii="仿宋" w:hAnsi="仿宋" w:eastAsia="仿宋" w:cs="仿宋"/>
          <w:sz w:val="40"/>
          <w:szCs w:val="40"/>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465BDE9D">
      <w:pPr>
        <w:spacing w:line="360" w:lineRule="auto"/>
        <w:jc w:val="center"/>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40"/>
          <w:szCs w:val="40"/>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1、与本次询比采购机械的内容</w:t>
      </w:r>
    </w:p>
    <w:p w14:paraId="393CC50C">
      <w:pPr>
        <w:spacing w:line="360" w:lineRule="auto"/>
        <w:ind w:firstLine="558" w:firstLineChars="228"/>
        <w:rPr>
          <w:rFonts w:hint="default"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（1）工程名称：以第二建筑工程事业部各项目部施工需求为准</w:t>
      </w:r>
    </w:p>
    <w:p w14:paraId="26C0026C">
      <w:pP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（2）工程地点：铜陵市（含铜山及安庆铜矿）、沙溪、宣城市等</w:t>
      </w:r>
    </w:p>
    <w:p w14:paraId="29974824">
      <w:pP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（3）工程内容：配合现场吊运工程材料等</w:t>
      </w:r>
    </w:p>
    <w:p w14:paraId="16B4ADD9">
      <w:pP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（4）计划工期：日历天数365天。（具体租期以建设单位安排的工作内容为准）</w:t>
      </w:r>
    </w:p>
    <w:p w14:paraId="61EC6149">
      <w:pP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（5）计价方式：固定单价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二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10789B7C">
      <w:pPr>
        <w:spacing w:line="360" w:lineRule="auto"/>
        <w:ind w:firstLine="558" w:firstLineChars="228"/>
        <w:rPr>
          <w:rFonts w:hint="eastAsia" w:ascii="仿宋" w:hAnsi="仿宋" w:eastAsia="仿宋" w:cs="仿宋"/>
          <w:color w:val="FF0000"/>
          <w:sz w:val="24"/>
          <w:szCs w:val="24"/>
        </w:rPr>
      </w:pPr>
      <w:r>
        <w:rPr>
          <w:rFonts w:hint="eastAsia" w:ascii="仿宋" w:hAnsi="仿宋" w:eastAsia="仿宋" w:cs="仿宋"/>
          <w:color w:val="FF0000"/>
          <w:sz w:val="24"/>
          <w:szCs w:val="24"/>
        </w:rPr>
        <w:t>3、报价</w:t>
      </w:r>
      <w:r>
        <w:rPr>
          <w:rFonts w:hint="eastAsia" w:ascii="仿宋" w:hAnsi="仿宋" w:eastAsia="仿宋" w:cs="仿宋"/>
          <w:color w:val="FF0000"/>
          <w:sz w:val="24"/>
          <w:szCs w:val="24"/>
          <w:lang w:val="en-US" w:eastAsia="zh-CN"/>
        </w:rPr>
        <w:t>说明及</w:t>
      </w:r>
      <w:r>
        <w:rPr>
          <w:rFonts w:hint="eastAsia" w:ascii="仿宋" w:hAnsi="仿宋" w:eastAsia="仿宋" w:cs="仿宋"/>
          <w:color w:val="FF0000"/>
          <w:sz w:val="24"/>
          <w:szCs w:val="24"/>
        </w:rPr>
        <w:t>相关要求</w:t>
      </w:r>
    </w:p>
    <w:p w14:paraId="0014CA44">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rPr>
        <w:t>（1）</w:t>
      </w:r>
      <w:r>
        <w:rPr>
          <w:rFonts w:hint="eastAsia" w:ascii="仿宋" w:hAnsi="仿宋" w:eastAsia="仿宋" w:cs="仿宋"/>
          <w:color w:val="FF0000"/>
          <w:sz w:val="24"/>
          <w:szCs w:val="24"/>
          <w:u w:val="single"/>
          <w:lang w:val="en-US" w:eastAsia="zh-CN"/>
        </w:rPr>
        <w:t>本次询比采购，</w:t>
      </w:r>
      <w:r>
        <w:rPr>
          <w:rFonts w:hint="eastAsia" w:ascii="仿宋" w:hAnsi="仿宋" w:eastAsia="仿宋" w:cs="仿宋"/>
          <w:color w:val="FF0000"/>
          <w:sz w:val="24"/>
          <w:szCs w:val="24"/>
          <w:u w:val="single"/>
          <w:lang w:eastAsia="zh-CN"/>
        </w:rPr>
        <w:t>下浮率的计算需以铜冠建安公司2025年机械设备租赁指导价格为基准（即计费基数），供应商仅需提交下浮率报价。</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05D16209">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w:t>
      </w:r>
      <w:r>
        <w:rPr>
          <w:rFonts w:hint="eastAsia" w:ascii="仿宋" w:hAnsi="仿宋" w:eastAsia="仿宋" w:cs="仿宋"/>
          <w:color w:val="FF0000"/>
          <w:sz w:val="24"/>
          <w:szCs w:val="24"/>
          <w:u w:val="none"/>
          <w:lang w:val="en-US" w:eastAsia="zh-CN"/>
        </w:rPr>
        <w:t>2</w:t>
      </w:r>
      <w:r>
        <w:rPr>
          <w:rFonts w:hint="eastAsia" w:ascii="仿宋" w:hAnsi="仿宋" w:eastAsia="仿宋" w:cs="仿宋"/>
          <w:color w:val="FF0000"/>
          <w:sz w:val="24"/>
          <w:szCs w:val="24"/>
          <w:u w:val="none"/>
          <w:lang w:eastAsia="zh-CN"/>
        </w:rPr>
        <w:t>）下浮率的计算式及相关规则如下：</w:t>
      </w:r>
    </w:p>
    <w:p w14:paraId="41FA25BD">
      <w:pPr>
        <w:spacing w:line="360" w:lineRule="auto"/>
        <w:ind w:firstLine="800" w:firstLineChars="327"/>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val="en-US" w:eastAsia="zh-CN"/>
        </w:rPr>
        <w:t>①</w:t>
      </w:r>
      <w:r>
        <w:rPr>
          <w:rFonts w:hint="eastAsia" w:ascii="仿宋" w:hAnsi="仿宋" w:eastAsia="仿宋" w:cs="仿宋"/>
          <w:color w:val="FF0000"/>
          <w:sz w:val="24"/>
          <w:szCs w:val="24"/>
          <w:u w:val="none"/>
          <w:lang w:eastAsia="zh-CN"/>
        </w:rPr>
        <w:t>下浮率定义与计算式​</w:t>
      </w:r>
    </w:p>
    <w:p w14:paraId="1A6D2FD4">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​下浮率表示供应商报价相对于指导价格的优惠比例，计算公式为：</w:t>
      </w:r>
    </w:p>
    <w:p w14:paraId="08C55820">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​下浮率</w:t>
      </w:r>
      <w:r>
        <w:rPr>
          <w:rFonts w:hint="eastAsia" w:ascii="仿宋" w:hAnsi="仿宋" w:eastAsia="仿宋" w:cs="仿宋"/>
          <w:color w:val="FF0000"/>
          <w:sz w:val="24"/>
          <w:szCs w:val="24"/>
          <w:u w:val="none"/>
          <w:lang w:val="en-US" w:eastAsia="zh-CN"/>
        </w:rPr>
        <w:t>=</w:t>
      </w:r>
      <w:r>
        <w:rPr>
          <w:rFonts w:hint="eastAsia" w:ascii="仿宋" w:hAnsi="仿宋" w:eastAsia="仿宋" w:cs="仿宋"/>
          <w:color w:val="FF0000"/>
          <w:sz w:val="24"/>
          <w:szCs w:val="24"/>
          <w:u w:val="none"/>
          <w:lang w:eastAsia="zh-CN"/>
        </w:rPr>
        <w:t>(指导价-供应商报价)/指导价×100%​​</w:t>
      </w:r>
    </w:p>
    <w:p w14:paraId="1851B419">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其中：</w:t>
      </w:r>
    </w:p>
    <w:p w14:paraId="2B968837">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​指导价：铜冠建安公司2025年机械设备租赁指导价格（即基准价）；</w:t>
      </w:r>
    </w:p>
    <w:p w14:paraId="319A404A">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​供应商报价：供应商根据指导价下浮后的实际租赁报价。</w:t>
      </w:r>
    </w:p>
    <w:p w14:paraId="4ED8C123">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val="en-US" w:eastAsia="zh-CN"/>
        </w:rPr>
        <w:t>②</w:t>
      </w:r>
      <w:r>
        <w:rPr>
          <w:rFonts w:hint="eastAsia" w:ascii="仿宋" w:hAnsi="仿宋" w:eastAsia="仿宋" w:cs="仿宋"/>
          <w:color w:val="FF0000"/>
          <w:sz w:val="24"/>
          <w:szCs w:val="24"/>
          <w:u w:val="none"/>
          <w:lang w:eastAsia="zh-CN"/>
        </w:rPr>
        <w:t>报价有效性规则​</w:t>
      </w:r>
    </w:p>
    <w:p w14:paraId="1EE1F823">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​最低下浮率要求：下浮率不得低于</w:t>
      </w:r>
      <w:r>
        <w:rPr>
          <w:rFonts w:hint="eastAsia" w:ascii="仿宋" w:hAnsi="仿宋" w:eastAsia="仿宋" w:cs="仿宋"/>
          <w:color w:val="FF0000"/>
          <w:sz w:val="24"/>
          <w:szCs w:val="24"/>
          <w:u w:val="none"/>
          <w:lang w:val="en-US" w:eastAsia="zh-CN"/>
        </w:rPr>
        <w:t>1</w:t>
      </w:r>
      <w:r>
        <w:rPr>
          <w:rFonts w:hint="eastAsia" w:ascii="仿宋" w:hAnsi="仿宋" w:eastAsia="仿宋" w:cs="仿宋"/>
          <w:color w:val="FF0000"/>
          <w:sz w:val="24"/>
          <w:szCs w:val="24"/>
          <w:u w:val="none"/>
          <w:lang w:eastAsia="zh-CN"/>
        </w:rPr>
        <w:t>%（即≥</w:t>
      </w:r>
      <w:r>
        <w:rPr>
          <w:rFonts w:hint="eastAsia" w:ascii="仿宋" w:hAnsi="仿宋" w:eastAsia="仿宋" w:cs="仿宋"/>
          <w:color w:val="FF0000"/>
          <w:sz w:val="24"/>
          <w:szCs w:val="24"/>
          <w:u w:val="none"/>
          <w:lang w:val="en-US" w:eastAsia="zh-CN"/>
        </w:rPr>
        <w:t>1</w:t>
      </w:r>
      <w:r>
        <w:rPr>
          <w:rFonts w:hint="eastAsia" w:ascii="仿宋" w:hAnsi="仿宋" w:eastAsia="仿宋" w:cs="仿宋"/>
          <w:color w:val="FF0000"/>
          <w:sz w:val="24"/>
          <w:szCs w:val="24"/>
          <w:u w:val="none"/>
          <w:lang w:eastAsia="zh-CN"/>
        </w:rPr>
        <w:t>%），否则视为无效报价。</w:t>
      </w:r>
    </w:p>
    <w:p w14:paraId="58D5B034">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（最高限价</w:t>
      </w:r>
      <w:r>
        <w:rPr>
          <w:rFonts w:hint="eastAsia" w:ascii="仿宋" w:hAnsi="仿宋" w:eastAsia="仿宋" w:cs="仿宋"/>
          <w:color w:val="FF0000"/>
          <w:sz w:val="24"/>
          <w:szCs w:val="24"/>
          <w:u w:val="none"/>
          <w:lang w:val="en-US" w:eastAsia="zh-CN"/>
        </w:rPr>
        <w:t>1</w:t>
      </w:r>
      <w:r>
        <w:rPr>
          <w:rFonts w:hint="eastAsia" w:ascii="仿宋" w:hAnsi="仿宋" w:eastAsia="仿宋" w:cs="仿宋"/>
          <w:color w:val="FF0000"/>
          <w:sz w:val="24"/>
          <w:szCs w:val="24"/>
          <w:u w:val="none"/>
          <w:lang w:eastAsia="zh-CN"/>
        </w:rPr>
        <w:t>%对应最低优惠要求，即供应商至少需让利</w:t>
      </w:r>
      <w:r>
        <w:rPr>
          <w:rFonts w:hint="eastAsia" w:ascii="仿宋" w:hAnsi="仿宋" w:eastAsia="仿宋" w:cs="仿宋"/>
          <w:color w:val="FF0000"/>
          <w:sz w:val="24"/>
          <w:szCs w:val="24"/>
          <w:u w:val="none"/>
          <w:lang w:val="en-US" w:eastAsia="zh-CN"/>
        </w:rPr>
        <w:t>1</w:t>
      </w:r>
      <w:r>
        <w:rPr>
          <w:rFonts w:hint="eastAsia" w:ascii="仿宋" w:hAnsi="仿宋" w:eastAsia="仿宋" w:cs="仿宋"/>
          <w:color w:val="FF0000"/>
          <w:sz w:val="24"/>
          <w:szCs w:val="24"/>
          <w:u w:val="none"/>
          <w:lang w:eastAsia="zh-CN"/>
        </w:rPr>
        <w:t>%（如1000元设备最低实付9</w:t>
      </w:r>
      <w:r>
        <w:rPr>
          <w:rFonts w:hint="eastAsia" w:ascii="仿宋" w:hAnsi="仿宋" w:eastAsia="仿宋" w:cs="仿宋"/>
          <w:color w:val="FF0000"/>
          <w:sz w:val="24"/>
          <w:szCs w:val="24"/>
          <w:u w:val="none"/>
          <w:lang w:val="en-US" w:eastAsia="zh-CN"/>
        </w:rPr>
        <w:t>9</w:t>
      </w:r>
      <w:r>
        <w:rPr>
          <w:rFonts w:hint="eastAsia" w:ascii="仿宋" w:hAnsi="仿宋" w:eastAsia="仿宋" w:cs="仿宋"/>
          <w:color w:val="FF0000"/>
          <w:sz w:val="24"/>
          <w:szCs w:val="24"/>
          <w:u w:val="none"/>
          <w:lang w:eastAsia="zh-CN"/>
        </w:rPr>
        <w:t>0元），避免恶性竞争或虚高报价。）</w:t>
      </w:r>
    </w:p>
    <w:p w14:paraId="671E9FF8">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w:t>
      </w:r>
      <w:r>
        <w:rPr>
          <w:rFonts w:hint="eastAsia" w:ascii="仿宋" w:hAnsi="仿宋" w:eastAsia="仿宋" w:cs="仿宋"/>
          <w:color w:val="FF0000"/>
          <w:sz w:val="24"/>
          <w:szCs w:val="24"/>
          <w:u w:val="none"/>
          <w:lang w:val="en-US" w:eastAsia="zh-CN"/>
        </w:rPr>
        <w:t>③</w:t>
      </w:r>
      <w:r>
        <w:rPr>
          <w:rFonts w:hint="eastAsia" w:ascii="仿宋" w:hAnsi="仿宋" w:eastAsia="仿宋" w:cs="仿宋"/>
          <w:color w:val="FF0000"/>
          <w:sz w:val="24"/>
          <w:szCs w:val="24"/>
          <w:u w:val="none"/>
          <w:lang w:eastAsia="zh-CN"/>
        </w:rPr>
        <w:t>实际租赁价格计算​</w:t>
      </w:r>
    </w:p>
    <w:p w14:paraId="74B6147A">
      <w:pPr>
        <w:spacing w:line="360" w:lineRule="auto"/>
        <w:ind w:firstLine="800" w:firstLineChars="327"/>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供应商</w:t>
      </w:r>
      <w:r>
        <w:rPr>
          <w:rFonts w:hint="eastAsia" w:ascii="仿宋" w:hAnsi="仿宋" w:eastAsia="仿宋" w:cs="仿宋"/>
          <w:color w:val="FF0000"/>
          <w:sz w:val="24"/>
          <w:szCs w:val="24"/>
          <w:u w:val="none"/>
          <w:lang w:val="en-US" w:eastAsia="zh-CN"/>
        </w:rPr>
        <w:t>填报</w:t>
      </w:r>
      <w:r>
        <w:rPr>
          <w:rFonts w:hint="eastAsia" w:ascii="仿宋" w:hAnsi="仿宋" w:eastAsia="仿宋" w:cs="仿宋"/>
          <w:color w:val="FF0000"/>
          <w:sz w:val="24"/>
          <w:szCs w:val="24"/>
          <w:u w:val="none"/>
          <w:lang w:eastAsia="zh-CN"/>
        </w:rPr>
        <w:t>下浮率后，实际租赁价格按以下公式计算：</w:t>
      </w:r>
    </w:p>
    <w:p w14:paraId="3B00A118">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​实际租赁价格=指导价×(1-下浮率)​​</w:t>
      </w:r>
    </w:p>
    <w:p w14:paraId="43624FDD">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例如：</w:t>
      </w:r>
    </w:p>
    <w:p w14:paraId="09524640">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若指导价为</w:t>
      </w:r>
      <w:r>
        <w:rPr>
          <w:rFonts w:hint="eastAsia" w:ascii="仿宋" w:hAnsi="仿宋" w:eastAsia="仿宋" w:cs="仿宋"/>
          <w:color w:val="FF0000"/>
          <w:sz w:val="24"/>
          <w:szCs w:val="24"/>
          <w:u w:val="none"/>
          <w:lang w:val="en-US" w:eastAsia="zh-CN"/>
        </w:rPr>
        <w:t>1000</w:t>
      </w:r>
      <w:r>
        <w:rPr>
          <w:rFonts w:hint="eastAsia" w:ascii="仿宋" w:hAnsi="仿宋" w:eastAsia="仿宋" w:cs="仿宋"/>
          <w:color w:val="FF0000"/>
          <w:sz w:val="24"/>
          <w:szCs w:val="24"/>
          <w:u w:val="none"/>
          <w:lang w:eastAsia="zh-CN"/>
        </w:rPr>
        <w:t>元，下浮率报5%，则实际价格=</w:t>
      </w:r>
      <w:r>
        <w:rPr>
          <w:rFonts w:hint="eastAsia" w:ascii="仿宋" w:hAnsi="仿宋" w:eastAsia="仿宋" w:cs="仿宋"/>
          <w:color w:val="FF0000"/>
          <w:sz w:val="24"/>
          <w:szCs w:val="24"/>
          <w:u w:val="none"/>
          <w:lang w:val="en-US" w:eastAsia="zh-CN"/>
        </w:rPr>
        <w:t>1000元</w:t>
      </w:r>
      <w:r>
        <w:rPr>
          <w:rFonts w:hint="eastAsia" w:ascii="仿宋" w:hAnsi="仿宋" w:eastAsia="仿宋" w:cs="仿宋"/>
          <w:color w:val="FF0000"/>
          <w:sz w:val="24"/>
          <w:szCs w:val="24"/>
          <w:u w:val="none"/>
          <w:lang w:eastAsia="zh-CN"/>
        </w:rPr>
        <w:t>×(1-5%)=</w:t>
      </w:r>
      <w:r>
        <w:rPr>
          <w:rFonts w:hint="eastAsia" w:ascii="仿宋" w:hAnsi="仿宋" w:eastAsia="仿宋" w:cs="仿宋"/>
          <w:color w:val="FF0000"/>
          <w:sz w:val="24"/>
          <w:szCs w:val="24"/>
          <w:u w:val="none"/>
          <w:lang w:val="en-US" w:eastAsia="zh-CN"/>
        </w:rPr>
        <w:t>950</w:t>
      </w:r>
      <w:r>
        <w:rPr>
          <w:rFonts w:hint="eastAsia" w:ascii="仿宋" w:hAnsi="仿宋" w:eastAsia="仿宋" w:cs="仿宋"/>
          <w:color w:val="FF0000"/>
          <w:sz w:val="24"/>
          <w:szCs w:val="24"/>
          <w:u w:val="none"/>
          <w:lang w:eastAsia="zh-CN"/>
        </w:rPr>
        <w:t>元；</w:t>
      </w:r>
    </w:p>
    <w:p w14:paraId="76746270">
      <w:pPr>
        <w:spacing w:line="360" w:lineRule="auto"/>
        <w:ind w:firstLine="558" w:firstLineChars="228"/>
        <w:rPr>
          <w:rFonts w:hint="default" w:ascii="仿宋" w:hAnsi="仿宋" w:eastAsia="仿宋" w:cs="仿宋"/>
          <w:color w:val="FF0000"/>
          <w:sz w:val="24"/>
          <w:szCs w:val="24"/>
          <w:u w:val="none"/>
          <w:lang w:val="en-US" w:eastAsia="zh-CN"/>
        </w:rPr>
      </w:pPr>
      <w:r>
        <w:rPr>
          <w:rFonts w:hint="eastAsia" w:ascii="仿宋" w:hAnsi="仿宋" w:eastAsia="仿宋" w:cs="仿宋"/>
          <w:color w:val="FF0000"/>
          <w:sz w:val="24"/>
          <w:szCs w:val="24"/>
          <w:u w:val="none"/>
          <w:lang w:eastAsia="zh-CN"/>
        </w:rPr>
        <w:t>若下浮率报</w:t>
      </w:r>
      <w:r>
        <w:rPr>
          <w:rFonts w:hint="eastAsia" w:ascii="仿宋" w:hAnsi="仿宋" w:eastAsia="仿宋" w:cs="仿宋"/>
          <w:color w:val="FF0000"/>
          <w:sz w:val="24"/>
          <w:szCs w:val="24"/>
          <w:u w:val="none"/>
          <w:lang w:val="en-US" w:eastAsia="zh-CN"/>
        </w:rPr>
        <w:t>1</w:t>
      </w:r>
      <w:r>
        <w:rPr>
          <w:rFonts w:hint="eastAsia" w:ascii="仿宋" w:hAnsi="仿宋" w:eastAsia="仿宋" w:cs="仿宋"/>
          <w:color w:val="FF0000"/>
          <w:sz w:val="24"/>
          <w:szCs w:val="24"/>
          <w:u w:val="none"/>
          <w:lang w:eastAsia="zh-CN"/>
        </w:rPr>
        <w:t>%，则实际价格=</w:t>
      </w:r>
      <w:r>
        <w:rPr>
          <w:rFonts w:hint="eastAsia" w:ascii="仿宋" w:hAnsi="仿宋" w:eastAsia="仿宋" w:cs="仿宋"/>
          <w:color w:val="FF0000"/>
          <w:sz w:val="24"/>
          <w:szCs w:val="24"/>
          <w:u w:val="none"/>
          <w:lang w:val="en-US" w:eastAsia="zh-CN"/>
        </w:rPr>
        <w:t>1000元</w:t>
      </w:r>
      <w:r>
        <w:rPr>
          <w:rFonts w:hint="eastAsia" w:ascii="仿宋" w:hAnsi="仿宋" w:eastAsia="仿宋" w:cs="仿宋"/>
          <w:color w:val="FF0000"/>
          <w:sz w:val="24"/>
          <w:szCs w:val="24"/>
          <w:u w:val="none"/>
          <w:lang w:eastAsia="zh-CN"/>
        </w:rPr>
        <w:t>×9</w:t>
      </w:r>
      <w:r>
        <w:rPr>
          <w:rFonts w:hint="eastAsia" w:ascii="仿宋" w:hAnsi="仿宋" w:eastAsia="仿宋" w:cs="仿宋"/>
          <w:color w:val="FF0000"/>
          <w:sz w:val="24"/>
          <w:szCs w:val="24"/>
          <w:u w:val="none"/>
          <w:lang w:val="en-US" w:eastAsia="zh-CN"/>
        </w:rPr>
        <w:t>9</w:t>
      </w:r>
      <w:r>
        <w:rPr>
          <w:rFonts w:hint="eastAsia" w:ascii="仿宋" w:hAnsi="仿宋" w:eastAsia="仿宋" w:cs="仿宋"/>
          <w:color w:val="FF0000"/>
          <w:sz w:val="24"/>
          <w:szCs w:val="24"/>
          <w:u w:val="none"/>
          <w:lang w:eastAsia="zh-CN"/>
        </w:rPr>
        <w:t>%=</w:t>
      </w:r>
      <w:r>
        <w:rPr>
          <w:rFonts w:hint="eastAsia" w:ascii="仿宋" w:hAnsi="仿宋" w:eastAsia="仿宋" w:cs="仿宋"/>
          <w:color w:val="FF0000"/>
          <w:sz w:val="24"/>
          <w:szCs w:val="24"/>
          <w:u w:val="none"/>
          <w:lang w:val="en-US" w:eastAsia="zh-CN"/>
        </w:rPr>
        <w:t>990</w:t>
      </w:r>
      <w:r>
        <w:rPr>
          <w:rFonts w:hint="eastAsia" w:ascii="仿宋" w:hAnsi="仿宋" w:eastAsia="仿宋" w:cs="仿宋"/>
          <w:color w:val="FF0000"/>
          <w:sz w:val="24"/>
          <w:szCs w:val="24"/>
          <w:u w:val="none"/>
          <w:lang w:eastAsia="zh-CN"/>
        </w:rPr>
        <w:t>元</w:t>
      </w:r>
      <w:r>
        <w:rPr>
          <w:rFonts w:hint="eastAsia" w:ascii="仿宋" w:hAnsi="仿宋" w:eastAsia="仿宋" w:cs="仿宋"/>
          <w:color w:val="FF0000"/>
          <w:sz w:val="24"/>
          <w:szCs w:val="24"/>
          <w:u w:val="none"/>
          <w:lang w:val="en-US" w:eastAsia="zh-CN"/>
        </w:rPr>
        <w:t>.</w:t>
      </w:r>
    </w:p>
    <w:p w14:paraId="72518E6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4</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BB9EDF6">
      <w:pPr>
        <w:spacing w:line="360" w:lineRule="auto"/>
        <w:ind w:firstLine="558" w:firstLineChars="228"/>
        <w:rPr>
          <w:rFonts w:hint="eastAsia" w:ascii="仿宋" w:hAnsi="仿宋" w:eastAsia="仿宋" w:cs="仿宋"/>
          <w:b/>
          <w:sz w:val="24"/>
          <w:szCs w:val="24"/>
        </w:rPr>
      </w:pPr>
      <w:r>
        <w:rPr>
          <w:rFonts w:hint="eastAsia" w:ascii="仿宋" w:hAnsi="仿宋" w:eastAsia="仿宋" w:cs="仿宋"/>
          <w:sz w:val="24"/>
          <w:szCs w:val="24"/>
        </w:rPr>
        <w:t>7、</w:t>
      </w:r>
      <w:r>
        <w:rPr>
          <w:rFonts w:hint="eastAsia" w:ascii="仿宋" w:hAnsi="仿宋" w:eastAsia="仿宋" w:cs="仿宋"/>
          <w:sz w:val="24"/>
          <w:szCs w:val="24"/>
          <w:lang w:val="en-US" w:eastAsia="zh-CN"/>
        </w:rPr>
        <w:t>机械供应</w:t>
      </w:r>
      <w:r>
        <w:rPr>
          <w:rFonts w:hint="eastAsia" w:ascii="仿宋" w:hAnsi="仿宋" w:eastAsia="仿宋" w:cs="仿宋"/>
          <w:sz w:val="24"/>
          <w:szCs w:val="24"/>
        </w:rPr>
        <w:t>数量确认方式：</w:t>
      </w:r>
      <w:r>
        <w:rPr>
          <w:rFonts w:hint="eastAsia" w:ascii="仿宋" w:hAnsi="仿宋" w:eastAsia="仿宋" w:cs="仿宋"/>
          <w:sz w:val="24"/>
          <w:szCs w:val="24"/>
          <w:u w:val="single"/>
        </w:rPr>
        <w:t>以实际到</w:t>
      </w:r>
      <w:r>
        <w:rPr>
          <w:rFonts w:hint="eastAsia" w:ascii="仿宋" w:hAnsi="仿宋" w:eastAsia="仿宋" w:cs="仿宋"/>
          <w:sz w:val="24"/>
          <w:szCs w:val="24"/>
          <w:u w:val="single"/>
          <w:lang w:val="en-US" w:eastAsia="zh-CN"/>
        </w:rPr>
        <w:t>场</w:t>
      </w:r>
      <w:r>
        <w:rPr>
          <w:rFonts w:hint="eastAsia" w:ascii="仿宋" w:hAnsi="仿宋" w:eastAsia="仿宋" w:cs="仿宋"/>
          <w:sz w:val="24"/>
          <w:szCs w:val="24"/>
          <w:u w:val="single"/>
        </w:rPr>
        <w:t>数量为准。</w:t>
      </w: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54229BE5">
      <w:pPr>
        <w:spacing w:line="360" w:lineRule="auto"/>
        <w:ind w:firstLine="490" w:firstLineChars="200"/>
        <w:rPr>
          <w:rFonts w:hint="eastAsia" w:ascii="仿宋" w:hAnsi="仿宋" w:eastAsia="仿宋" w:cs="仿宋"/>
          <w:strike w:val="0"/>
          <w:dstrike w:val="0"/>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w:t>
      </w:r>
      <w:r>
        <w:rPr>
          <w:rFonts w:hint="eastAsia" w:ascii="仿宋" w:hAnsi="仿宋" w:eastAsia="仿宋" w:cs="仿宋"/>
          <w:sz w:val="24"/>
          <w:szCs w:val="24"/>
          <w:u w:val="single"/>
          <w:lang w:val="en-US" w:eastAsia="zh-CN"/>
        </w:rPr>
        <w:t>次评审</w:t>
      </w:r>
      <w:r>
        <w:rPr>
          <w:rFonts w:hint="eastAsia" w:ascii="仿宋" w:hAnsi="仿宋" w:eastAsia="仿宋" w:cs="仿宋"/>
          <w:sz w:val="24"/>
          <w:szCs w:val="24"/>
          <w:u w:val="single"/>
        </w:rPr>
        <w:t>以投标报价下浮率为核心评审依据</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采用“合理低价法”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w:t>
      </w:r>
      <w:r>
        <w:rPr>
          <w:rFonts w:hint="eastAsia" w:ascii="仿宋" w:hAnsi="仿宋" w:eastAsia="仿宋" w:cs="仿宋"/>
          <w:sz w:val="24"/>
          <w:szCs w:val="24"/>
          <w:u w:val="single"/>
          <w:lang w:val="en-US" w:eastAsia="zh-CN"/>
        </w:rPr>
        <w:t>价格</w:t>
      </w:r>
      <w:r>
        <w:rPr>
          <w:rFonts w:hint="eastAsia" w:ascii="仿宋" w:hAnsi="仿宋" w:eastAsia="仿宋" w:cs="仿宋"/>
          <w:sz w:val="24"/>
          <w:szCs w:val="24"/>
          <w:u w:val="single"/>
        </w:rPr>
        <w:t>进行排序，其中投标报价</w:t>
      </w:r>
      <w:r>
        <w:rPr>
          <w:rFonts w:hint="eastAsia" w:ascii="仿宋" w:hAnsi="仿宋" w:eastAsia="仿宋" w:cs="仿宋"/>
          <w:sz w:val="24"/>
          <w:szCs w:val="24"/>
          <w:u w:val="single"/>
          <w:lang w:val="en-US" w:eastAsia="zh-CN"/>
        </w:rPr>
        <w:t>下浮率最高的</w:t>
      </w:r>
      <w:r>
        <w:rPr>
          <w:rFonts w:hint="eastAsia" w:ascii="仿宋" w:hAnsi="仿宋" w:eastAsia="仿宋" w:cs="仿宋"/>
          <w:sz w:val="24"/>
          <w:szCs w:val="24"/>
          <w:u w:val="single"/>
        </w:rPr>
        <w:t>报价单位为预</w:t>
      </w:r>
      <w:r>
        <w:rPr>
          <w:rFonts w:hint="eastAsia" w:ascii="仿宋" w:hAnsi="仿宋" w:eastAsia="仿宋" w:cs="仿宋"/>
          <w:sz w:val="24"/>
          <w:szCs w:val="24"/>
          <w:u w:val="single"/>
          <w:lang w:eastAsia="zh-CN"/>
        </w:rPr>
        <w:t>成交人。</w:t>
      </w:r>
      <w:r>
        <w:rPr>
          <w:rFonts w:hint="eastAsia" w:ascii="仿宋" w:hAnsi="仿宋" w:eastAsia="仿宋" w:cs="仿宋"/>
          <w:strike w:val="0"/>
          <w:dstrike w:val="0"/>
          <w:sz w:val="24"/>
          <w:szCs w:val="24"/>
          <w:u w:val="single"/>
        </w:rPr>
        <w:t>若下浮率相同，则以信用评级较高者优先（信用等级以开标当日官方平台公示为准）。</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40"/>
          <w:szCs w:val="40"/>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31E2482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118B6125">
      <w:pPr>
        <w:spacing w:line="360" w:lineRule="auto"/>
        <w:jc w:val="center"/>
        <w:rPr>
          <w:rFonts w:hint="eastAsia" w:ascii="仿宋" w:hAnsi="仿宋" w:eastAsia="仿宋" w:cs="仿宋"/>
          <w:b/>
          <w:sz w:val="40"/>
          <w:szCs w:val="40"/>
        </w:rPr>
      </w:pPr>
    </w:p>
    <w:p w14:paraId="4DAB044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78925DD1">
      <w:pPr>
        <w:spacing w:line="360" w:lineRule="auto"/>
        <w:jc w:val="center"/>
        <w:rPr>
          <w:rFonts w:hint="eastAsia" w:ascii="仿宋" w:hAnsi="仿宋" w:eastAsia="仿宋" w:cs="仿宋"/>
          <w:b/>
          <w:sz w:val="24"/>
          <w:szCs w:val="24"/>
        </w:rPr>
      </w:pPr>
    </w:p>
    <w:p w14:paraId="1A6413C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11E85F14">
      <w:pPr>
        <w:spacing w:before="156" w:beforeLines="50" w:after="156" w:afterLines="50" w:line="360" w:lineRule="auto"/>
        <w:ind w:firstLine="490" w:firstLineChars="200"/>
        <w:rPr>
          <w:rFonts w:hint="eastAsia" w:ascii="仿宋" w:hAnsi="仿宋" w:eastAsia="仿宋" w:cs="仿宋"/>
          <w:sz w:val="24"/>
          <w:szCs w:val="24"/>
        </w:rPr>
      </w:pPr>
    </w:p>
    <w:p w14:paraId="721659C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083088EB">
      <w:pPr>
        <w:spacing w:before="156" w:beforeLines="50" w:after="156" w:afterLines="50" w:line="360" w:lineRule="auto"/>
        <w:ind w:firstLine="490" w:firstLineChars="200"/>
        <w:rPr>
          <w:rFonts w:hint="eastAsia" w:ascii="仿宋" w:hAnsi="仿宋" w:eastAsia="仿宋" w:cs="仿宋"/>
          <w:sz w:val="24"/>
          <w:szCs w:val="24"/>
        </w:rPr>
      </w:pPr>
    </w:p>
    <w:p w14:paraId="2992EE9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50211E80">
      <w:pPr>
        <w:spacing w:before="156" w:beforeLines="50" w:after="156" w:afterLines="50" w:line="360" w:lineRule="auto"/>
        <w:ind w:firstLine="490" w:firstLineChars="200"/>
        <w:rPr>
          <w:rFonts w:hint="eastAsia" w:ascii="仿宋" w:hAnsi="仿宋" w:eastAsia="仿宋" w:cs="仿宋"/>
          <w:sz w:val="24"/>
          <w:szCs w:val="24"/>
        </w:rPr>
      </w:pPr>
    </w:p>
    <w:p w14:paraId="6514EBED">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057DA433">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4A58ACBF">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1D148604">
      <w:pPr>
        <w:spacing w:before="156" w:beforeLines="50" w:after="156" w:afterLines="50" w:line="360" w:lineRule="auto"/>
        <w:rPr>
          <w:rFonts w:hint="eastAsia" w:ascii="仿宋" w:hAnsi="仿宋" w:eastAsia="仿宋" w:cs="仿宋"/>
          <w:sz w:val="24"/>
          <w:szCs w:val="24"/>
        </w:rPr>
      </w:pPr>
    </w:p>
    <w:p w14:paraId="642B62A4">
      <w:pPr>
        <w:spacing w:before="156" w:beforeLines="50" w:after="156" w:afterLines="50" w:line="360" w:lineRule="auto"/>
        <w:ind w:firstLine="4165" w:firstLineChars="1700"/>
        <w:rPr>
          <w:rFonts w:hint="eastAsia" w:ascii="仿宋" w:hAnsi="仿宋" w:eastAsia="仿宋" w:cs="仿宋"/>
          <w:sz w:val="24"/>
          <w:szCs w:val="24"/>
        </w:rPr>
      </w:pPr>
    </w:p>
    <w:p w14:paraId="1602FFA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4992C16B">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124A2D1B">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587EE2DD">
      <w:pPr>
        <w:spacing w:line="360" w:lineRule="auto"/>
        <w:jc w:val="center"/>
        <w:rPr>
          <w:rFonts w:hint="eastAsia" w:ascii="仿宋" w:hAnsi="仿宋" w:eastAsia="仿宋" w:cs="仿宋"/>
          <w:b/>
          <w:sz w:val="48"/>
          <w:szCs w:val="48"/>
        </w:rPr>
      </w:pPr>
      <w:bookmarkStart w:id="2" w:name="_GoBack"/>
      <w:bookmarkEnd w:id="2"/>
    </w:p>
    <w:p w14:paraId="2E0BEE0E">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39E7F372">
      <w:pPr>
        <w:spacing w:line="360" w:lineRule="auto"/>
        <w:ind w:firstLine="490" w:firstLineChars="200"/>
        <w:rPr>
          <w:rFonts w:hint="eastAsia" w:ascii="仿宋" w:hAnsi="仿宋" w:eastAsia="仿宋" w:cs="仿宋"/>
          <w:sz w:val="24"/>
          <w:szCs w:val="24"/>
        </w:rPr>
      </w:pPr>
    </w:p>
    <w:p w14:paraId="48D92E4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6B0B8EEC">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024FD077">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46AC4A28">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2E524B1">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1E9428D3">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3896ADAE">
      <w:pPr>
        <w:spacing w:line="360" w:lineRule="auto"/>
        <w:ind w:firstLine="490" w:firstLineChars="200"/>
        <w:rPr>
          <w:rFonts w:hint="eastAsia" w:ascii="仿宋" w:hAnsi="仿宋" w:eastAsia="仿宋" w:cs="仿宋"/>
          <w:color w:val="000000"/>
          <w:sz w:val="24"/>
          <w:szCs w:val="24"/>
          <w:u w:val="single"/>
        </w:rPr>
      </w:pPr>
    </w:p>
    <w:p w14:paraId="50A60796">
      <w:pPr>
        <w:spacing w:line="360" w:lineRule="auto"/>
        <w:ind w:firstLine="4655" w:firstLineChars="1900"/>
        <w:rPr>
          <w:rFonts w:hint="eastAsia" w:ascii="仿宋" w:hAnsi="仿宋" w:eastAsia="仿宋" w:cs="仿宋"/>
          <w:sz w:val="24"/>
          <w:szCs w:val="24"/>
        </w:rPr>
      </w:pPr>
    </w:p>
    <w:p w14:paraId="202D9625">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59FF597">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3E904E71">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E5A5967">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第二建筑工程事业部--汽车起重机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w:t>
      </w:r>
      <w:r>
        <w:rPr>
          <w:rFonts w:hint="eastAsia" w:ascii="仿宋" w:hAnsi="仿宋" w:eastAsia="仿宋" w:cs="仿宋"/>
          <w:b/>
          <w:bCs/>
          <w:color w:val="FF0000"/>
          <w:sz w:val="24"/>
          <w:szCs w:val="24"/>
          <w:lang w:val="en-US" w:eastAsia="zh-CN" w:bidi="ar"/>
        </w:rPr>
        <w:t>036</w:t>
      </w:r>
    </w:p>
    <w:tbl>
      <w:tblPr>
        <w:tblStyle w:val="45"/>
        <w:tblW w:w="14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623"/>
        <w:gridCol w:w="1305"/>
        <w:gridCol w:w="2565"/>
        <w:gridCol w:w="1755"/>
        <w:gridCol w:w="1800"/>
        <w:gridCol w:w="2460"/>
        <w:gridCol w:w="1408"/>
        <w:gridCol w:w="1408"/>
      </w:tblGrid>
      <w:tr w14:paraId="28A6E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exact"/>
          <w:jc w:val="center"/>
        </w:trPr>
        <w:tc>
          <w:tcPr>
            <w:tcW w:w="656" w:type="dxa"/>
            <w:noWrap w:val="0"/>
            <w:vAlign w:val="center"/>
          </w:tcPr>
          <w:p w14:paraId="797E226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623" w:type="dxa"/>
            <w:noWrap w:val="0"/>
            <w:vAlign w:val="center"/>
          </w:tcPr>
          <w:p w14:paraId="31F1C35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305" w:type="dxa"/>
            <w:noWrap w:val="0"/>
            <w:vAlign w:val="center"/>
          </w:tcPr>
          <w:p w14:paraId="13CC2193">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565" w:type="dxa"/>
            <w:noWrap w:val="0"/>
            <w:vAlign w:val="center"/>
          </w:tcPr>
          <w:p w14:paraId="618B648E">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755" w:type="dxa"/>
            <w:shd w:val="clear" w:color="auto" w:fill="auto"/>
            <w:noWrap w:val="0"/>
            <w:vAlign w:val="center"/>
          </w:tcPr>
          <w:p w14:paraId="44F2D885">
            <w:pPr>
              <w:keepNext w:val="0"/>
              <w:keepLines w:val="0"/>
              <w:suppressLineNumbers w:val="0"/>
              <w:spacing w:before="0" w:beforeAutospacing="0" w:after="0" w:afterAutospacing="0"/>
              <w:ind w:left="0" w:right="0"/>
              <w:jc w:val="center"/>
              <w:rPr>
                <w:rFonts w:hint="default"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公司指导价</w:t>
            </w:r>
          </w:p>
          <w:p w14:paraId="3DCE1180">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800" w:type="dxa"/>
            <w:noWrap w:val="0"/>
            <w:vAlign w:val="center"/>
          </w:tcPr>
          <w:p w14:paraId="7FEEE8A0">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最低下浮率</w:t>
            </w:r>
          </w:p>
        </w:tc>
        <w:tc>
          <w:tcPr>
            <w:tcW w:w="2460" w:type="dxa"/>
            <w:noWrap w:val="0"/>
            <w:vAlign w:val="center"/>
          </w:tcPr>
          <w:p w14:paraId="5437D942">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572AEBFB">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2816" w:type="dxa"/>
            <w:gridSpan w:val="2"/>
            <w:noWrap w:val="0"/>
            <w:vAlign w:val="center"/>
          </w:tcPr>
          <w:p w14:paraId="0B14F456">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2915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656" w:type="dxa"/>
            <w:shd w:val="clear" w:color="auto" w:fill="auto"/>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4"/>
                <w:szCs w:val="24"/>
                <w:highlight w:val="none"/>
                <w:lang w:val="en-US" w:eastAsia="zh-CN" w:bidi="ar-SA"/>
              </w:rPr>
              <w:t>1</w:t>
            </w:r>
          </w:p>
        </w:tc>
        <w:tc>
          <w:tcPr>
            <w:tcW w:w="1623" w:type="dxa"/>
            <w:shd w:val="clear" w:color="auto" w:fill="auto"/>
            <w:noWrap w:val="0"/>
            <w:vAlign w:val="center"/>
          </w:tcPr>
          <w:p w14:paraId="75C8C229">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sz w:val="22"/>
                <w:szCs w:val="22"/>
                <w:u w:val="none"/>
                <w:lang w:val="en-US" w:eastAsia="zh-CN"/>
              </w:rPr>
              <w:t>汽车起重机</w:t>
            </w:r>
          </w:p>
        </w:tc>
        <w:tc>
          <w:tcPr>
            <w:tcW w:w="1305" w:type="dxa"/>
            <w:shd w:val="clear" w:color="auto" w:fill="auto"/>
            <w:noWrap w:val="0"/>
            <w:vAlign w:val="center"/>
          </w:tcPr>
          <w:p w14:paraId="659AF17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8T</w:t>
            </w:r>
          </w:p>
        </w:tc>
        <w:tc>
          <w:tcPr>
            <w:tcW w:w="2565" w:type="dxa"/>
            <w:shd w:val="clear" w:color="auto" w:fill="auto"/>
            <w:noWrap w:val="0"/>
            <w:vAlign w:val="center"/>
          </w:tcPr>
          <w:p w14:paraId="2200E20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配合现场吊运材料等</w:t>
            </w:r>
          </w:p>
        </w:tc>
        <w:tc>
          <w:tcPr>
            <w:tcW w:w="1755" w:type="dxa"/>
            <w:shd w:val="clear" w:color="auto" w:fill="auto"/>
            <w:noWrap w:val="0"/>
            <w:vAlign w:val="center"/>
          </w:tcPr>
          <w:p w14:paraId="0C0825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2"/>
                <w:szCs w:val="22"/>
                <w:lang w:val="en-US" w:eastAsia="zh-CN" w:bidi="ar-SA"/>
              </w:rPr>
            </w:pPr>
            <w:r>
              <w:rPr>
                <w:rFonts w:hint="eastAsia" w:ascii="仿宋" w:hAnsi="仿宋" w:eastAsia="仿宋" w:cs="仿宋"/>
                <w:color w:val="auto"/>
                <w:kern w:val="0"/>
                <w:sz w:val="22"/>
                <w:szCs w:val="22"/>
                <w:lang w:bidi="ar"/>
              </w:rPr>
              <w:t>613</w:t>
            </w:r>
            <w:r>
              <w:rPr>
                <w:rFonts w:hint="eastAsia" w:ascii="仿宋" w:hAnsi="仿宋" w:eastAsia="仿宋" w:cs="仿宋"/>
                <w:color w:val="auto"/>
                <w:kern w:val="0"/>
                <w:sz w:val="22"/>
                <w:szCs w:val="22"/>
                <w:lang w:val="en-US" w:eastAsia="zh-CN" w:bidi="ar"/>
              </w:rPr>
              <w:t>元/台班</w:t>
            </w:r>
          </w:p>
        </w:tc>
        <w:tc>
          <w:tcPr>
            <w:tcW w:w="1800" w:type="dxa"/>
            <w:vMerge w:val="restart"/>
            <w:shd w:val="clear" w:color="auto" w:fill="auto"/>
            <w:noWrap w:val="0"/>
            <w:vAlign w:val="center"/>
          </w:tcPr>
          <w:p w14:paraId="72C86A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bidi="ar"/>
              </w:rPr>
            </w:pPr>
            <w:r>
              <w:rPr>
                <w:rFonts w:hint="eastAsia" w:ascii="仿宋" w:hAnsi="仿宋" w:eastAsia="仿宋" w:cs="仿宋"/>
                <w:color w:val="auto"/>
                <w:kern w:val="0"/>
                <w:sz w:val="22"/>
                <w:szCs w:val="22"/>
                <w:lang w:val="en-US" w:eastAsia="zh-CN" w:bidi="ar"/>
              </w:rPr>
              <w:t>1%</w:t>
            </w:r>
          </w:p>
        </w:tc>
        <w:tc>
          <w:tcPr>
            <w:tcW w:w="2460" w:type="dxa"/>
            <w:vMerge w:val="restart"/>
            <w:shd w:val="clear" w:color="auto" w:fill="auto"/>
            <w:noWrap w:val="0"/>
            <w:vAlign w:val="center"/>
          </w:tcPr>
          <w:p w14:paraId="12CB2D8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4"/>
                <w:szCs w:val="24"/>
                <w:u w:val="singl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408" w:type="dxa"/>
            <w:shd w:val="clear" w:color="auto" w:fill="auto"/>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z w:val="22"/>
                <w:szCs w:val="22"/>
              </w:rPr>
              <w:t>0.5台班起</w:t>
            </w:r>
          </w:p>
        </w:tc>
        <w:tc>
          <w:tcPr>
            <w:tcW w:w="1408" w:type="dxa"/>
            <w:vMerge w:val="restart"/>
            <w:shd w:val="clear" w:color="auto" w:fill="auto"/>
            <w:noWrap w:val="0"/>
            <w:vAlign w:val="center"/>
          </w:tcPr>
          <w:p w14:paraId="694022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sz w:val="22"/>
                <w:szCs w:val="22"/>
              </w:rPr>
            </w:pPr>
            <w:r>
              <w:rPr>
                <w:rFonts w:hint="eastAsia" w:ascii="仿宋" w:hAnsi="仿宋" w:eastAsia="仿宋" w:cs="仿宋"/>
                <w:b/>
                <w:bCs/>
                <w:kern w:val="2"/>
                <w:sz w:val="22"/>
                <w:szCs w:val="22"/>
                <w:highlight w:val="none"/>
                <w:lang w:val="en-US" w:eastAsia="zh-CN" w:bidi="ar-SA"/>
              </w:rPr>
              <w:t>请供应商详读询比采购文件“</w:t>
            </w:r>
            <w:r>
              <w:rPr>
                <w:rFonts w:hint="eastAsia" w:ascii="仿宋" w:hAnsi="仿宋" w:eastAsia="仿宋" w:cs="仿宋"/>
                <w:b/>
                <w:bCs/>
                <w:color w:val="FF0000"/>
                <w:kern w:val="2"/>
                <w:sz w:val="22"/>
                <w:szCs w:val="22"/>
                <w:highlight w:val="none"/>
                <w:lang w:val="en-US" w:eastAsia="zh-CN" w:bidi="ar-SA"/>
              </w:rPr>
              <w:t xml:space="preserve">第七点，第3条 </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61CD5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656" w:type="dxa"/>
            <w:shd w:val="clear" w:color="auto" w:fill="auto"/>
            <w:noWrap w:val="0"/>
            <w:vAlign w:val="center"/>
          </w:tcPr>
          <w:p w14:paraId="3FB703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w:t>
            </w:r>
          </w:p>
        </w:tc>
        <w:tc>
          <w:tcPr>
            <w:tcW w:w="1623" w:type="dxa"/>
            <w:shd w:val="clear" w:color="auto" w:fill="auto"/>
            <w:noWrap w:val="0"/>
            <w:vAlign w:val="center"/>
          </w:tcPr>
          <w:p w14:paraId="2136410C">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sz w:val="22"/>
                <w:szCs w:val="22"/>
                <w:u w:val="none"/>
                <w:lang w:val="en-US" w:eastAsia="zh-CN"/>
              </w:rPr>
              <w:t>汽车起重机</w:t>
            </w:r>
          </w:p>
        </w:tc>
        <w:tc>
          <w:tcPr>
            <w:tcW w:w="1305" w:type="dxa"/>
            <w:shd w:val="clear" w:color="auto" w:fill="auto"/>
            <w:noWrap w:val="0"/>
            <w:vAlign w:val="center"/>
          </w:tcPr>
          <w:p w14:paraId="0F5B178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12T</w:t>
            </w:r>
          </w:p>
        </w:tc>
        <w:tc>
          <w:tcPr>
            <w:tcW w:w="2565" w:type="dxa"/>
            <w:shd w:val="clear" w:color="auto" w:fill="auto"/>
            <w:noWrap w:val="0"/>
            <w:vAlign w:val="center"/>
          </w:tcPr>
          <w:p w14:paraId="0A5BD51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2"/>
                <w:sz w:val="21"/>
                <w:szCs w:val="21"/>
                <w:u w:val="none"/>
                <w:lang w:val="en-US" w:eastAsia="zh-CN" w:bidi="ar-SA"/>
              </w:rPr>
            </w:pPr>
            <w:r>
              <w:rPr>
                <w:rFonts w:hint="eastAsia" w:ascii="仿宋" w:hAnsi="仿宋" w:eastAsia="仿宋" w:cs="仿宋"/>
                <w:i w:val="0"/>
                <w:color w:val="000000"/>
                <w:kern w:val="0"/>
                <w:sz w:val="22"/>
                <w:szCs w:val="22"/>
                <w:u w:val="none"/>
                <w:lang w:val="en-US" w:eastAsia="zh-CN" w:bidi="ar"/>
              </w:rPr>
              <w:t>配合现场吊运材料等</w:t>
            </w:r>
          </w:p>
        </w:tc>
        <w:tc>
          <w:tcPr>
            <w:tcW w:w="1755" w:type="dxa"/>
            <w:shd w:val="clear" w:color="auto" w:fill="auto"/>
            <w:noWrap w:val="0"/>
            <w:vAlign w:val="center"/>
          </w:tcPr>
          <w:p w14:paraId="4E5AFC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2"/>
                <w:szCs w:val="22"/>
                <w:lang w:val="en-US" w:eastAsia="zh-CN" w:bidi="ar-SA"/>
              </w:rPr>
            </w:pPr>
            <w:r>
              <w:rPr>
                <w:rFonts w:hint="eastAsia" w:ascii="仿宋" w:hAnsi="仿宋" w:eastAsia="仿宋" w:cs="仿宋"/>
                <w:color w:val="auto"/>
                <w:kern w:val="0"/>
                <w:sz w:val="22"/>
                <w:szCs w:val="22"/>
                <w:lang w:bidi="ar"/>
              </w:rPr>
              <w:t>726</w:t>
            </w:r>
            <w:r>
              <w:rPr>
                <w:rFonts w:hint="eastAsia" w:ascii="仿宋" w:hAnsi="仿宋" w:eastAsia="仿宋" w:cs="仿宋"/>
                <w:color w:val="auto"/>
                <w:kern w:val="0"/>
                <w:sz w:val="22"/>
                <w:szCs w:val="22"/>
                <w:lang w:val="en-US" w:eastAsia="zh-CN" w:bidi="ar"/>
              </w:rPr>
              <w:t>元/台班</w:t>
            </w:r>
          </w:p>
        </w:tc>
        <w:tc>
          <w:tcPr>
            <w:tcW w:w="1800" w:type="dxa"/>
            <w:vMerge w:val="continue"/>
            <w:shd w:val="clear" w:color="auto" w:fill="auto"/>
            <w:noWrap w:val="0"/>
            <w:vAlign w:val="center"/>
          </w:tcPr>
          <w:p w14:paraId="21AB97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bidi="ar"/>
              </w:rPr>
            </w:pPr>
          </w:p>
        </w:tc>
        <w:tc>
          <w:tcPr>
            <w:tcW w:w="2460" w:type="dxa"/>
            <w:vMerge w:val="continue"/>
            <w:shd w:val="clear" w:color="auto" w:fill="auto"/>
            <w:noWrap w:val="0"/>
            <w:vAlign w:val="center"/>
          </w:tcPr>
          <w:p w14:paraId="3E5B27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8" w:type="dxa"/>
            <w:shd w:val="clear" w:color="auto" w:fill="auto"/>
            <w:noWrap w:val="0"/>
            <w:vAlign w:val="center"/>
          </w:tcPr>
          <w:p w14:paraId="401291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z w:val="22"/>
                <w:szCs w:val="22"/>
              </w:rPr>
              <w:t>0.5台班起</w:t>
            </w:r>
          </w:p>
        </w:tc>
        <w:tc>
          <w:tcPr>
            <w:tcW w:w="1408" w:type="dxa"/>
            <w:vMerge w:val="continue"/>
            <w:shd w:val="clear" w:color="auto" w:fill="auto"/>
            <w:noWrap w:val="0"/>
            <w:vAlign w:val="center"/>
          </w:tcPr>
          <w:p w14:paraId="246FC8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sz w:val="22"/>
                <w:szCs w:val="22"/>
              </w:rPr>
            </w:pPr>
          </w:p>
        </w:tc>
      </w:tr>
      <w:tr w14:paraId="51D8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656" w:type="dxa"/>
            <w:shd w:val="clear" w:color="auto" w:fill="auto"/>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w:t>
            </w:r>
          </w:p>
        </w:tc>
        <w:tc>
          <w:tcPr>
            <w:tcW w:w="1623" w:type="dxa"/>
            <w:shd w:val="clear" w:color="auto" w:fill="auto"/>
            <w:noWrap w:val="0"/>
            <w:vAlign w:val="center"/>
          </w:tcPr>
          <w:p w14:paraId="12E7F3EF">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sz w:val="22"/>
                <w:szCs w:val="22"/>
                <w:u w:val="none"/>
                <w:lang w:val="en-US" w:eastAsia="zh-CN"/>
              </w:rPr>
              <w:t>汽车起重机</w:t>
            </w:r>
          </w:p>
        </w:tc>
        <w:tc>
          <w:tcPr>
            <w:tcW w:w="1305" w:type="dxa"/>
            <w:shd w:val="clear" w:color="auto" w:fill="auto"/>
            <w:noWrap w:val="0"/>
            <w:vAlign w:val="center"/>
          </w:tcPr>
          <w:p w14:paraId="5CC4082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16T</w:t>
            </w:r>
          </w:p>
        </w:tc>
        <w:tc>
          <w:tcPr>
            <w:tcW w:w="2565" w:type="dxa"/>
            <w:shd w:val="clear" w:color="auto" w:fill="auto"/>
            <w:noWrap w:val="0"/>
            <w:vAlign w:val="center"/>
          </w:tcPr>
          <w:p w14:paraId="5A21B75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2"/>
                <w:sz w:val="21"/>
                <w:szCs w:val="21"/>
                <w:u w:val="none"/>
                <w:lang w:val="en-US" w:eastAsia="zh-CN" w:bidi="ar-SA"/>
              </w:rPr>
            </w:pPr>
            <w:r>
              <w:rPr>
                <w:rFonts w:hint="eastAsia" w:ascii="仿宋" w:hAnsi="仿宋" w:eastAsia="仿宋" w:cs="仿宋"/>
                <w:i w:val="0"/>
                <w:color w:val="000000"/>
                <w:kern w:val="0"/>
                <w:sz w:val="22"/>
                <w:szCs w:val="22"/>
                <w:u w:val="none"/>
                <w:lang w:val="en-US" w:eastAsia="zh-CN" w:bidi="ar"/>
              </w:rPr>
              <w:t>配合现场吊运材料等</w:t>
            </w:r>
          </w:p>
        </w:tc>
        <w:tc>
          <w:tcPr>
            <w:tcW w:w="1755" w:type="dxa"/>
            <w:shd w:val="clear" w:color="auto" w:fill="auto"/>
            <w:noWrap w:val="0"/>
            <w:vAlign w:val="center"/>
          </w:tcPr>
          <w:p w14:paraId="1FA8E0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2"/>
                <w:szCs w:val="22"/>
                <w:lang w:val="en-US" w:eastAsia="zh-CN" w:bidi="ar-SA"/>
              </w:rPr>
            </w:pPr>
            <w:r>
              <w:rPr>
                <w:rFonts w:hint="eastAsia" w:ascii="仿宋" w:hAnsi="仿宋" w:eastAsia="仿宋" w:cs="仿宋"/>
                <w:color w:val="auto"/>
                <w:kern w:val="0"/>
                <w:sz w:val="22"/>
                <w:szCs w:val="22"/>
                <w:lang w:bidi="ar"/>
              </w:rPr>
              <w:t>896</w:t>
            </w:r>
            <w:r>
              <w:rPr>
                <w:rFonts w:hint="eastAsia" w:ascii="仿宋" w:hAnsi="仿宋" w:eastAsia="仿宋" w:cs="仿宋"/>
                <w:color w:val="auto"/>
                <w:kern w:val="0"/>
                <w:sz w:val="22"/>
                <w:szCs w:val="22"/>
                <w:lang w:val="en-US" w:eastAsia="zh-CN" w:bidi="ar"/>
              </w:rPr>
              <w:t>元/台班</w:t>
            </w:r>
          </w:p>
        </w:tc>
        <w:tc>
          <w:tcPr>
            <w:tcW w:w="1800" w:type="dxa"/>
            <w:vMerge w:val="continue"/>
            <w:shd w:val="clear" w:color="auto" w:fill="auto"/>
            <w:noWrap w:val="0"/>
            <w:vAlign w:val="center"/>
          </w:tcPr>
          <w:p w14:paraId="43BD14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bidi="ar"/>
              </w:rPr>
            </w:pPr>
          </w:p>
        </w:tc>
        <w:tc>
          <w:tcPr>
            <w:tcW w:w="2460" w:type="dxa"/>
            <w:vMerge w:val="continue"/>
            <w:shd w:val="clear" w:color="auto" w:fill="auto"/>
            <w:noWrap w:val="0"/>
            <w:vAlign w:val="center"/>
          </w:tcPr>
          <w:p w14:paraId="009A68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8" w:type="dxa"/>
            <w:shd w:val="clear" w:color="auto" w:fill="auto"/>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z w:val="22"/>
                <w:szCs w:val="22"/>
              </w:rPr>
              <w:t>0.5台班起</w:t>
            </w:r>
          </w:p>
        </w:tc>
        <w:tc>
          <w:tcPr>
            <w:tcW w:w="1408" w:type="dxa"/>
            <w:vMerge w:val="continue"/>
            <w:shd w:val="clear" w:color="auto" w:fill="auto"/>
            <w:noWrap w:val="0"/>
            <w:vAlign w:val="center"/>
          </w:tcPr>
          <w:p w14:paraId="691CC6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sz w:val="22"/>
                <w:szCs w:val="22"/>
              </w:rPr>
            </w:pPr>
          </w:p>
        </w:tc>
      </w:tr>
      <w:tr w14:paraId="0C093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656" w:type="dxa"/>
            <w:shd w:val="clear" w:color="auto" w:fill="auto"/>
            <w:noWrap w:val="0"/>
            <w:vAlign w:val="center"/>
          </w:tcPr>
          <w:p w14:paraId="0684FF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4</w:t>
            </w:r>
          </w:p>
        </w:tc>
        <w:tc>
          <w:tcPr>
            <w:tcW w:w="1623" w:type="dxa"/>
            <w:shd w:val="clear" w:color="auto" w:fill="auto"/>
            <w:noWrap w:val="0"/>
            <w:vAlign w:val="center"/>
          </w:tcPr>
          <w:p w14:paraId="5199B1FD">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sz w:val="22"/>
                <w:szCs w:val="22"/>
                <w:u w:val="none"/>
                <w:lang w:val="en-US" w:eastAsia="zh-CN"/>
              </w:rPr>
              <w:t>汽车起重机</w:t>
            </w:r>
          </w:p>
        </w:tc>
        <w:tc>
          <w:tcPr>
            <w:tcW w:w="1305" w:type="dxa"/>
            <w:shd w:val="clear" w:color="auto" w:fill="auto"/>
            <w:noWrap w:val="0"/>
            <w:vAlign w:val="center"/>
          </w:tcPr>
          <w:p w14:paraId="3445760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20T</w:t>
            </w:r>
          </w:p>
        </w:tc>
        <w:tc>
          <w:tcPr>
            <w:tcW w:w="2565" w:type="dxa"/>
            <w:shd w:val="clear" w:color="auto" w:fill="auto"/>
            <w:noWrap w:val="0"/>
            <w:vAlign w:val="center"/>
          </w:tcPr>
          <w:p w14:paraId="076CC54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2"/>
                <w:sz w:val="21"/>
                <w:szCs w:val="21"/>
                <w:u w:val="none"/>
                <w:lang w:val="en-US" w:eastAsia="zh-CN" w:bidi="ar-SA"/>
              </w:rPr>
            </w:pPr>
            <w:r>
              <w:rPr>
                <w:rFonts w:hint="eastAsia" w:ascii="仿宋" w:hAnsi="仿宋" w:eastAsia="仿宋" w:cs="仿宋"/>
                <w:i w:val="0"/>
                <w:color w:val="000000"/>
                <w:kern w:val="0"/>
                <w:sz w:val="22"/>
                <w:szCs w:val="22"/>
                <w:u w:val="none"/>
                <w:lang w:val="en-US" w:eastAsia="zh-CN" w:bidi="ar"/>
              </w:rPr>
              <w:t>配合现场吊运材料等</w:t>
            </w:r>
          </w:p>
        </w:tc>
        <w:tc>
          <w:tcPr>
            <w:tcW w:w="1755" w:type="dxa"/>
            <w:shd w:val="clear" w:color="auto" w:fill="auto"/>
            <w:noWrap w:val="0"/>
            <w:vAlign w:val="center"/>
          </w:tcPr>
          <w:p w14:paraId="42B430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2"/>
                <w:szCs w:val="22"/>
                <w:lang w:val="en-US" w:eastAsia="zh-CN" w:bidi="ar-SA"/>
              </w:rPr>
            </w:pPr>
            <w:r>
              <w:rPr>
                <w:rFonts w:hint="eastAsia" w:ascii="仿宋" w:hAnsi="仿宋" w:eastAsia="仿宋" w:cs="仿宋"/>
                <w:color w:val="auto"/>
                <w:kern w:val="0"/>
                <w:sz w:val="22"/>
                <w:szCs w:val="22"/>
                <w:lang w:bidi="ar"/>
              </w:rPr>
              <w:t>943</w:t>
            </w:r>
            <w:r>
              <w:rPr>
                <w:rFonts w:hint="eastAsia" w:ascii="仿宋" w:hAnsi="仿宋" w:eastAsia="仿宋" w:cs="仿宋"/>
                <w:color w:val="auto"/>
                <w:kern w:val="0"/>
                <w:sz w:val="22"/>
                <w:szCs w:val="22"/>
                <w:lang w:val="en-US" w:eastAsia="zh-CN" w:bidi="ar"/>
              </w:rPr>
              <w:t>元/台班</w:t>
            </w:r>
          </w:p>
        </w:tc>
        <w:tc>
          <w:tcPr>
            <w:tcW w:w="1800" w:type="dxa"/>
            <w:vMerge w:val="continue"/>
            <w:shd w:val="clear" w:color="auto" w:fill="auto"/>
            <w:noWrap w:val="0"/>
            <w:vAlign w:val="center"/>
          </w:tcPr>
          <w:p w14:paraId="511695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bidi="ar"/>
              </w:rPr>
            </w:pPr>
          </w:p>
        </w:tc>
        <w:tc>
          <w:tcPr>
            <w:tcW w:w="2460" w:type="dxa"/>
            <w:vMerge w:val="continue"/>
            <w:shd w:val="clear" w:color="auto" w:fill="auto"/>
            <w:noWrap w:val="0"/>
            <w:vAlign w:val="center"/>
          </w:tcPr>
          <w:p w14:paraId="4BB0279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8" w:type="dxa"/>
            <w:shd w:val="clear" w:color="auto" w:fill="auto"/>
            <w:noWrap w:val="0"/>
            <w:vAlign w:val="center"/>
          </w:tcPr>
          <w:p w14:paraId="3216B9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z w:val="22"/>
                <w:szCs w:val="22"/>
              </w:rPr>
              <w:t>0.5台班起</w:t>
            </w:r>
          </w:p>
        </w:tc>
        <w:tc>
          <w:tcPr>
            <w:tcW w:w="1408" w:type="dxa"/>
            <w:vMerge w:val="continue"/>
            <w:shd w:val="clear" w:color="auto" w:fill="auto"/>
            <w:noWrap w:val="0"/>
            <w:vAlign w:val="center"/>
          </w:tcPr>
          <w:p w14:paraId="686623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sz w:val="22"/>
                <w:szCs w:val="22"/>
              </w:rPr>
            </w:pPr>
          </w:p>
        </w:tc>
      </w:tr>
      <w:tr w14:paraId="1B82B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656" w:type="dxa"/>
            <w:shd w:val="clear" w:color="auto" w:fill="auto"/>
            <w:noWrap w:val="0"/>
            <w:vAlign w:val="center"/>
          </w:tcPr>
          <w:p w14:paraId="40D656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5</w:t>
            </w:r>
          </w:p>
        </w:tc>
        <w:tc>
          <w:tcPr>
            <w:tcW w:w="1623" w:type="dxa"/>
            <w:shd w:val="clear" w:color="auto" w:fill="auto"/>
            <w:noWrap w:val="0"/>
            <w:vAlign w:val="center"/>
          </w:tcPr>
          <w:p w14:paraId="45D7C9D4">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sz w:val="22"/>
                <w:szCs w:val="22"/>
                <w:u w:val="none"/>
                <w:lang w:val="en-US" w:eastAsia="zh-CN"/>
              </w:rPr>
              <w:t>汽车起重机</w:t>
            </w:r>
          </w:p>
        </w:tc>
        <w:tc>
          <w:tcPr>
            <w:tcW w:w="1305" w:type="dxa"/>
            <w:shd w:val="clear" w:color="auto" w:fill="auto"/>
            <w:noWrap w:val="0"/>
            <w:vAlign w:val="center"/>
          </w:tcPr>
          <w:p w14:paraId="32CA753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25T</w:t>
            </w:r>
          </w:p>
        </w:tc>
        <w:tc>
          <w:tcPr>
            <w:tcW w:w="2565" w:type="dxa"/>
            <w:shd w:val="clear" w:color="auto" w:fill="auto"/>
            <w:noWrap w:val="0"/>
            <w:vAlign w:val="center"/>
          </w:tcPr>
          <w:p w14:paraId="039409B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配合现场吊运材料等</w:t>
            </w:r>
          </w:p>
        </w:tc>
        <w:tc>
          <w:tcPr>
            <w:tcW w:w="1755" w:type="dxa"/>
            <w:shd w:val="clear" w:color="auto" w:fill="auto"/>
            <w:noWrap w:val="0"/>
            <w:vAlign w:val="center"/>
          </w:tcPr>
          <w:p w14:paraId="203B09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2"/>
                <w:szCs w:val="22"/>
                <w:lang w:val="en-US" w:eastAsia="zh-CN" w:bidi="ar-SA"/>
              </w:rPr>
            </w:pPr>
            <w:r>
              <w:rPr>
                <w:rFonts w:hint="eastAsia" w:ascii="仿宋" w:hAnsi="仿宋" w:eastAsia="仿宋" w:cs="仿宋"/>
                <w:color w:val="auto"/>
                <w:kern w:val="0"/>
                <w:sz w:val="22"/>
                <w:szCs w:val="22"/>
                <w:lang w:bidi="ar"/>
              </w:rPr>
              <w:t>1179</w:t>
            </w:r>
            <w:r>
              <w:rPr>
                <w:rFonts w:hint="eastAsia" w:ascii="仿宋" w:hAnsi="仿宋" w:eastAsia="仿宋" w:cs="仿宋"/>
                <w:color w:val="auto"/>
                <w:kern w:val="0"/>
                <w:sz w:val="22"/>
                <w:szCs w:val="22"/>
                <w:lang w:val="en-US" w:eastAsia="zh-CN" w:bidi="ar"/>
              </w:rPr>
              <w:t>元/台班</w:t>
            </w:r>
          </w:p>
        </w:tc>
        <w:tc>
          <w:tcPr>
            <w:tcW w:w="1800" w:type="dxa"/>
            <w:vMerge w:val="continue"/>
            <w:shd w:val="clear" w:color="auto" w:fill="auto"/>
            <w:noWrap w:val="0"/>
            <w:vAlign w:val="center"/>
          </w:tcPr>
          <w:p w14:paraId="0746BB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bidi="ar"/>
              </w:rPr>
            </w:pPr>
          </w:p>
        </w:tc>
        <w:tc>
          <w:tcPr>
            <w:tcW w:w="2460" w:type="dxa"/>
            <w:vMerge w:val="continue"/>
            <w:shd w:val="clear" w:color="auto" w:fill="auto"/>
            <w:noWrap w:val="0"/>
            <w:vAlign w:val="center"/>
          </w:tcPr>
          <w:p w14:paraId="7C9657B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8" w:type="dxa"/>
            <w:shd w:val="clear" w:color="auto" w:fill="auto"/>
            <w:noWrap w:val="0"/>
            <w:vAlign w:val="center"/>
          </w:tcPr>
          <w:p w14:paraId="599629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z w:val="22"/>
                <w:szCs w:val="22"/>
              </w:rPr>
              <w:t>0.5台班起</w:t>
            </w:r>
          </w:p>
        </w:tc>
        <w:tc>
          <w:tcPr>
            <w:tcW w:w="1408" w:type="dxa"/>
            <w:vMerge w:val="continue"/>
            <w:shd w:val="clear" w:color="auto" w:fill="auto"/>
            <w:noWrap w:val="0"/>
            <w:vAlign w:val="center"/>
          </w:tcPr>
          <w:p w14:paraId="364DD8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sz w:val="22"/>
                <w:szCs w:val="22"/>
              </w:rPr>
            </w:pPr>
          </w:p>
        </w:tc>
      </w:tr>
      <w:tr w14:paraId="44BB4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656" w:type="dxa"/>
            <w:shd w:val="clear" w:color="auto" w:fill="auto"/>
            <w:noWrap w:val="0"/>
            <w:vAlign w:val="center"/>
          </w:tcPr>
          <w:p w14:paraId="5530A6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6</w:t>
            </w:r>
          </w:p>
        </w:tc>
        <w:tc>
          <w:tcPr>
            <w:tcW w:w="1623" w:type="dxa"/>
            <w:shd w:val="clear" w:color="auto" w:fill="auto"/>
            <w:noWrap w:val="0"/>
            <w:vAlign w:val="center"/>
          </w:tcPr>
          <w:p w14:paraId="445662BF">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sz w:val="22"/>
                <w:szCs w:val="22"/>
                <w:u w:val="none"/>
                <w:lang w:val="en-US" w:eastAsia="zh-CN"/>
              </w:rPr>
              <w:t>汽车起重机</w:t>
            </w:r>
          </w:p>
        </w:tc>
        <w:tc>
          <w:tcPr>
            <w:tcW w:w="1305" w:type="dxa"/>
            <w:shd w:val="clear" w:color="auto" w:fill="auto"/>
            <w:noWrap w:val="0"/>
            <w:vAlign w:val="center"/>
          </w:tcPr>
          <w:p w14:paraId="64FB1C8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35T</w:t>
            </w:r>
          </w:p>
        </w:tc>
        <w:tc>
          <w:tcPr>
            <w:tcW w:w="2565" w:type="dxa"/>
            <w:shd w:val="clear" w:color="auto" w:fill="auto"/>
            <w:noWrap w:val="0"/>
            <w:vAlign w:val="center"/>
          </w:tcPr>
          <w:p w14:paraId="1DA1541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配合现场吊运材料等</w:t>
            </w:r>
          </w:p>
        </w:tc>
        <w:tc>
          <w:tcPr>
            <w:tcW w:w="1755" w:type="dxa"/>
            <w:shd w:val="clear" w:color="auto" w:fill="auto"/>
            <w:noWrap w:val="0"/>
            <w:vAlign w:val="center"/>
          </w:tcPr>
          <w:p w14:paraId="04499F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bCs/>
                <w:i w:val="0"/>
                <w:color w:val="000000"/>
                <w:kern w:val="2"/>
                <w:sz w:val="22"/>
                <w:szCs w:val="22"/>
                <w:u w:val="none"/>
                <w:lang w:val="en-US" w:eastAsia="zh-CN" w:bidi="ar-SA"/>
              </w:rPr>
            </w:pPr>
            <w:r>
              <w:rPr>
                <w:rFonts w:hint="eastAsia" w:ascii="仿宋" w:hAnsi="仿宋" w:eastAsia="仿宋" w:cs="仿宋"/>
                <w:color w:val="auto"/>
                <w:kern w:val="0"/>
                <w:sz w:val="22"/>
                <w:szCs w:val="22"/>
                <w:lang w:bidi="ar"/>
              </w:rPr>
              <w:t>1415</w:t>
            </w:r>
            <w:r>
              <w:rPr>
                <w:rFonts w:hint="eastAsia" w:ascii="仿宋" w:hAnsi="仿宋" w:eastAsia="仿宋" w:cs="仿宋"/>
                <w:color w:val="auto"/>
                <w:kern w:val="0"/>
                <w:sz w:val="22"/>
                <w:szCs w:val="22"/>
                <w:lang w:val="en-US" w:eastAsia="zh-CN" w:bidi="ar"/>
              </w:rPr>
              <w:t>元/台班</w:t>
            </w:r>
          </w:p>
        </w:tc>
        <w:tc>
          <w:tcPr>
            <w:tcW w:w="1800" w:type="dxa"/>
            <w:vMerge w:val="continue"/>
            <w:shd w:val="clear" w:color="auto" w:fill="auto"/>
            <w:noWrap w:val="0"/>
            <w:vAlign w:val="center"/>
          </w:tcPr>
          <w:p w14:paraId="0A076C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bidi="ar"/>
              </w:rPr>
            </w:pPr>
          </w:p>
        </w:tc>
        <w:tc>
          <w:tcPr>
            <w:tcW w:w="2460" w:type="dxa"/>
            <w:vMerge w:val="continue"/>
            <w:shd w:val="clear" w:color="auto" w:fill="auto"/>
            <w:noWrap w:val="0"/>
            <w:vAlign w:val="center"/>
          </w:tcPr>
          <w:p w14:paraId="468082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8" w:type="dxa"/>
            <w:shd w:val="clear" w:color="auto" w:fill="auto"/>
            <w:noWrap w:val="0"/>
            <w:vAlign w:val="center"/>
          </w:tcPr>
          <w:p w14:paraId="214E7F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z w:val="22"/>
                <w:szCs w:val="22"/>
              </w:rPr>
              <w:t>0.5台班起</w:t>
            </w:r>
          </w:p>
        </w:tc>
        <w:tc>
          <w:tcPr>
            <w:tcW w:w="1408" w:type="dxa"/>
            <w:vMerge w:val="continue"/>
            <w:shd w:val="clear" w:color="auto" w:fill="auto"/>
            <w:noWrap w:val="0"/>
            <w:vAlign w:val="center"/>
          </w:tcPr>
          <w:p w14:paraId="146959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sz w:val="22"/>
                <w:szCs w:val="22"/>
              </w:rPr>
            </w:pPr>
          </w:p>
        </w:tc>
      </w:tr>
      <w:tr w14:paraId="37BA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656" w:type="dxa"/>
            <w:shd w:val="clear" w:color="auto" w:fill="auto"/>
            <w:noWrap w:val="0"/>
            <w:vAlign w:val="center"/>
          </w:tcPr>
          <w:p w14:paraId="66D428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7</w:t>
            </w:r>
          </w:p>
        </w:tc>
        <w:tc>
          <w:tcPr>
            <w:tcW w:w="1623" w:type="dxa"/>
            <w:shd w:val="clear" w:color="auto" w:fill="auto"/>
            <w:noWrap w:val="0"/>
            <w:vAlign w:val="center"/>
          </w:tcPr>
          <w:p w14:paraId="5116860B">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汽车起重机</w:t>
            </w:r>
          </w:p>
        </w:tc>
        <w:tc>
          <w:tcPr>
            <w:tcW w:w="1305" w:type="dxa"/>
            <w:shd w:val="clear" w:color="auto" w:fill="auto"/>
            <w:noWrap w:val="0"/>
            <w:vAlign w:val="center"/>
          </w:tcPr>
          <w:p w14:paraId="029A0CAF">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50T</w:t>
            </w:r>
          </w:p>
        </w:tc>
        <w:tc>
          <w:tcPr>
            <w:tcW w:w="2565" w:type="dxa"/>
            <w:shd w:val="clear" w:color="auto" w:fill="auto"/>
            <w:noWrap w:val="0"/>
            <w:vAlign w:val="center"/>
          </w:tcPr>
          <w:p w14:paraId="6F054E4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配合现场吊运材料等</w:t>
            </w:r>
          </w:p>
        </w:tc>
        <w:tc>
          <w:tcPr>
            <w:tcW w:w="1755" w:type="dxa"/>
            <w:shd w:val="clear" w:color="auto" w:fill="auto"/>
            <w:noWrap w:val="0"/>
            <w:vAlign w:val="center"/>
          </w:tcPr>
          <w:p w14:paraId="096D6BE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kern w:val="0"/>
                <w:sz w:val="22"/>
                <w:szCs w:val="22"/>
                <w:lang w:bidi="ar"/>
              </w:rPr>
              <w:t>1887</w:t>
            </w:r>
            <w:r>
              <w:rPr>
                <w:rFonts w:hint="eastAsia" w:ascii="仿宋" w:hAnsi="仿宋" w:eastAsia="仿宋" w:cs="仿宋"/>
                <w:color w:val="auto"/>
                <w:kern w:val="0"/>
                <w:sz w:val="22"/>
                <w:szCs w:val="22"/>
                <w:lang w:val="en-US" w:eastAsia="zh-CN" w:bidi="ar"/>
              </w:rPr>
              <w:t>元/台班</w:t>
            </w:r>
          </w:p>
        </w:tc>
        <w:tc>
          <w:tcPr>
            <w:tcW w:w="1800" w:type="dxa"/>
            <w:vMerge w:val="continue"/>
            <w:shd w:val="clear" w:color="auto" w:fill="auto"/>
            <w:noWrap w:val="0"/>
            <w:vAlign w:val="center"/>
          </w:tcPr>
          <w:p w14:paraId="59EA764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2"/>
                <w:szCs w:val="22"/>
                <w:lang w:bidi="ar"/>
              </w:rPr>
            </w:pPr>
          </w:p>
        </w:tc>
        <w:tc>
          <w:tcPr>
            <w:tcW w:w="2460" w:type="dxa"/>
            <w:vMerge w:val="continue"/>
            <w:shd w:val="clear" w:color="auto" w:fill="auto"/>
            <w:noWrap w:val="0"/>
            <w:vAlign w:val="center"/>
          </w:tcPr>
          <w:p w14:paraId="292D60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8" w:type="dxa"/>
            <w:shd w:val="clear" w:color="auto" w:fill="auto"/>
            <w:noWrap w:val="0"/>
            <w:vAlign w:val="center"/>
          </w:tcPr>
          <w:p w14:paraId="2B4074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z w:val="22"/>
                <w:szCs w:val="22"/>
              </w:rPr>
              <w:t>0.5台班起</w:t>
            </w:r>
          </w:p>
        </w:tc>
        <w:tc>
          <w:tcPr>
            <w:tcW w:w="1408" w:type="dxa"/>
            <w:vMerge w:val="continue"/>
            <w:shd w:val="clear" w:color="auto" w:fill="auto"/>
            <w:noWrap w:val="0"/>
            <w:vAlign w:val="center"/>
          </w:tcPr>
          <w:p w14:paraId="660B33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sz w:val="22"/>
                <w:szCs w:val="22"/>
              </w:rPr>
            </w:pPr>
          </w:p>
        </w:tc>
      </w:tr>
      <w:tr w14:paraId="10E8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656" w:type="dxa"/>
            <w:shd w:val="clear" w:color="auto" w:fill="auto"/>
            <w:noWrap w:val="0"/>
            <w:vAlign w:val="center"/>
          </w:tcPr>
          <w:p w14:paraId="6427D5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8</w:t>
            </w:r>
          </w:p>
        </w:tc>
        <w:tc>
          <w:tcPr>
            <w:tcW w:w="1623" w:type="dxa"/>
            <w:shd w:val="clear" w:color="auto" w:fill="auto"/>
            <w:noWrap w:val="0"/>
            <w:vAlign w:val="center"/>
          </w:tcPr>
          <w:p w14:paraId="3E25C731">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汽车起重机</w:t>
            </w:r>
          </w:p>
        </w:tc>
        <w:tc>
          <w:tcPr>
            <w:tcW w:w="1305" w:type="dxa"/>
            <w:shd w:val="clear" w:color="auto" w:fill="auto"/>
            <w:noWrap w:val="0"/>
            <w:vAlign w:val="center"/>
          </w:tcPr>
          <w:p w14:paraId="6E23323D">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70T</w:t>
            </w:r>
          </w:p>
        </w:tc>
        <w:tc>
          <w:tcPr>
            <w:tcW w:w="2565" w:type="dxa"/>
            <w:shd w:val="clear" w:color="auto" w:fill="auto"/>
            <w:noWrap w:val="0"/>
            <w:vAlign w:val="center"/>
          </w:tcPr>
          <w:p w14:paraId="4705C8F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配合现场吊运材料等</w:t>
            </w:r>
          </w:p>
        </w:tc>
        <w:tc>
          <w:tcPr>
            <w:tcW w:w="1755" w:type="dxa"/>
            <w:shd w:val="clear" w:color="auto" w:fill="auto"/>
            <w:noWrap w:val="0"/>
            <w:vAlign w:val="center"/>
          </w:tcPr>
          <w:p w14:paraId="73FAAC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kern w:val="0"/>
                <w:sz w:val="22"/>
                <w:szCs w:val="22"/>
                <w:lang w:bidi="ar"/>
              </w:rPr>
              <w:t>2453</w:t>
            </w:r>
            <w:r>
              <w:rPr>
                <w:rFonts w:hint="eastAsia" w:ascii="仿宋" w:hAnsi="仿宋" w:eastAsia="仿宋" w:cs="仿宋"/>
                <w:color w:val="auto"/>
                <w:kern w:val="0"/>
                <w:sz w:val="22"/>
                <w:szCs w:val="22"/>
                <w:lang w:val="en-US" w:eastAsia="zh-CN" w:bidi="ar"/>
              </w:rPr>
              <w:t>元/台班</w:t>
            </w:r>
          </w:p>
        </w:tc>
        <w:tc>
          <w:tcPr>
            <w:tcW w:w="1800" w:type="dxa"/>
            <w:vMerge w:val="continue"/>
            <w:shd w:val="clear" w:color="auto" w:fill="auto"/>
            <w:noWrap w:val="0"/>
            <w:vAlign w:val="center"/>
          </w:tcPr>
          <w:p w14:paraId="648328B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2"/>
                <w:szCs w:val="22"/>
                <w:lang w:bidi="ar"/>
              </w:rPr>
            </w:pPr>
          </w:p>
        </w:tc>
        <w:tc>
          <w:tcPr>
            <w:tcW w:w="2460" w:type="dxa"/>
            <w:vMerge w:val="continue"/>
            <w:shd w:val="clear" w:color="auto" w:fill="auto"/>
            <w:noWrap w:val="0"/>
            <w:vAlign w:val="center"/>
          </w:tcPr>
          <w:p w14:paraId="40C2A16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8" w:type="dxa"/>
            <w:shd w:val="clear" w:color="auto" w:fill="auto"/>
            <w:noWrap w:val="0"/>
            <w:vAlign w:val="center"/>
          </w:tcPr>
          <w:p w14:paraId="1B46E6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z w:val="22"/>
                <w:szCs w:val="22"/>
              </w:rPr>
              <w:t>0.5台班起</w:t>
            </w:r>
          </w:p>
        </w:tc>
        <w:tc>
          <w:tcPr>
            <w:tcW w:w="1408" w:type="dxa"/>
            <w:vMerge w:val="continue"/>
            <w:shd w:val="clear" w:color="auto" w:fill="auto"/>
            <w:noWrap w:val="0"/>
            <w:vAlign w:val="center"/>
          </w:tcPr>
          <w:p w14:paraId="038B86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sz w:val="22"/>
                <w:szCs w:val="22"/>
              </w:rPr>
            </w:pPr>
          </w:p>
        </w:tc>
      </w:tr>
      <w:tr w14:paraId="0970A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656" w:type="dxa"/>
            <w:shd w:val="clear" w:color="auto" w:fill="auto"/>
            <w:noWrap w:val="0"/>
            <w:vAlign w:val="center"/>
          </w:tcPr>
          <w:p w14:paraId="7AEA22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9</w:t>
            </w:r>
          </w:p>
        </w:tc>
        <w:tc>
          <w:tcPr>
            <w:tcW w:w="1623" w:type="dxa"/>
            <w:shd w:val="clear" w:color="auto" w:fill="auto"/>
            <w:noWrap w:val="0"/>
            <w:vAlign w:val="center"/>
          </w:tcPr>
          <w:p w14:paraId="1D7FC450">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汽车起重机</w:t>
            </w:r>
          </w:p>
        </w:tc>
        <w:tc>
          <w:tcPr>
            <w:tcW w:w="1305" w:type="dxa"/>
            <w:shd w:val="clear" w:color="auto" w:fill="auto"/>
            <w:noWrap w:val="0"/>
            <w:vAlign w:val="center"/>
          </w:tcPr>
          <w:p w14:paraId="098CFE58">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80T</w:t>
            </w:r>
          </w:p>
        </w:tc>
        <w:tc>
          <w:tcPr>
            <w:tcW w:w="2565" w:type="dxa"/>
            <w:shd w:val="clear" w:color="auto" w:fill="auto"/>
            <w:noWrap w:val="0"/>
            <w:vAlign w:val="center"/>
          </w:tcPr>
          <w:p w14:paraId="30BBE27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配合现场吊运材料等</w:t>
            </w:r>
          </w:p>
        </w:tc>
        <w:tc>
          <w:tcPr>
            <w:tcW w:w="1755" w:type="dxa"/>
            <w:shd w:val="clear" w:color="auto" w:fill="auto"/>
            <w:noWrap w:val="0"/>
            <w:vAlign w:val="center"/>
          </w:tcPr>
          <w:p w14:paraId="17C77E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kern w:val="0"/>
                <w:sz w:val="22"/>
                <w:szCs w:val="22"/>
                <w:lang w:bidi="ar"/>
              </w:rPr>
              <w:t>3302</w:t>
            </w:r>
            <w:r>
              <w:rPr>
                <w:rFonts w:hint="eastAsia" w:ascii="仿宋" w:hAnsi="仿宋" w:eastAsia="仿宋" w:cs="仿宋"/>
                <w:color w:val="auto"/>
                <w:kern w:val="0"/>
                <w:sz w:val="22"/>
                <w:szCs w:val="22"/>
                <w:lang w:val="en-US" w:eastAsia="zh-CN" w:bidi="ar"/>
              </w:rPr>
              <w:t>元/台班</w:t>
            </w:r>
          </w:p>
        </w:tc>
        <w:tc>
          <w:tcPr>
            <w:tcW w:w="1800" w:type="dxa"/>
            <w:vMerge w:val="continue"/>
            <w:shd w:val="clear" w:color="auto" w:fill="auto"/>
            <w:noWrap w:val="0"/>
            <w:vAlign w:val="center"/>
          </w:tcPr>
          <w:p w14:paraId="4C78F8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2"/>
                <w:szCs w:val="22"/>
                <w:lang w:bidi="ar"/>
              </w:rPr>
            </w:pPr>
          </w:p>
        </w:tc>
        <w:tc>
          <w:tcPr>
            <w:tcW w:w="2460" w:type="dxa"/>
            <w:vMerge w:val="continue"/>
            <w:shd w:val="clear" w:color="auto" w:fill="auto"/>
            <w:noWrap w:val="0"/>
            <w:vAlign w:val="center"/>
          </w:tcPr>
          <w:p w14:paraId="32DD3AF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8" w:type="dxa"/>
            <w:shd w:val="clear" w:color="auto" w:fill="auto"/>
            <w:noWrap w:val="0"/>
            <w:vAlign w:val="center"/>
          </w:tcPr>
          <w:p w14:paraId="098B00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z w:val="22"/>
                <w:szCs w:val="22"/>
              </w:rPr>
              <w:t>1台班起</w:t>
            </w:r>
          </w:p>
        </w:tc>
        <w:tc>
          <w:tcPr>
            <w:tcW w:w="1408" w:type="dxa"/>
            <w:vMerge w:val="continue"/>
            <w:shd w:val="clear" w:color="auto" w:fill="auto"/>
            <w:noWrap w:val="0"/>
            <w:vAlign w:val="center"/>
          </w:tcPr>
          <w:p w14:paraId="0224D3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sz w:val="22"/>
                <w:szCs w:val="22"/>
              </w:rPr>
            </w:pPr>
          </w:p>
        </w:tc>
      </w:tr>
      <w:tr w14:paraId="3E6F2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656" w:type="dxa"/>
            <w:shd w:val="clear" w:color="auto" w:fill="auto"/>
            <w:noWrap w:val="0"/>
            <w:vAlign w:val="center"/>
          </w:tcPr>
          <w:p w14:paraId="60ED55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10</w:t>
            </w:r>
          </w:p>
        </w:tc>
        <w:tc>
          <w:tcPr>
            <w:tcW w:w="1623" w:type="dxa"/>
            <w:shd w:val="clear" w:color="auto" w:fill="auto"/>
            <w:noWrap w:val="0"/>
            <w:vAlign w:val="center"/>
          </w:tcPr>
          <w:p w14:paraId="3E681C62">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汽车起重机</w:t>
            </w:r>
          </w:p>
        </w:tc>
        <w:tc>
          <w:tcPr>
            <w:tcW w:w="1305" w:type="dxa"/>
            <w:shd w:val="clear" w:color="auto" w:fill="auto"/>
            <w:noWrap w:val="0"/>
            <w:vAlign w:val="center"/>
          </w:tcPr>
          <w:p w14:paraId="20A644A2">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130T</w:t>
            </w:r>
          </w:p>
        </w:tc>
        <w:tc>
          <w:tcPr>
            <w:tcW w:w="2565" w:type="dxa"/>
            <w:shd w:val="clear" w:color="auto" w:fill="auto"/>
            <w:noWrap w:val="0"/>
            <w:vAlign w:val="center"/>
          </w:tcPr>
          <w:p w14:paraId="4F98FE8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配合现场吊运材料等</w:t>
            </w:r>
          </w:p>
        </w:tc>
        <w:tc>
          <w:tcPr>
            <w:tcW w:w="1755" w:type="dxa"/>
            <w:shd w:val="clear" w:color="auto" w:fill="auto"/>
            <w:noWrap w:val="0"/>
            <w:vAlign w:val="center"/>
          </w:tcPr>
          <w:p w14:paraId="47A665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bidi="ar"/>
              </w:rPr>
            </w:pPr>
            <w:r>
              <w:rPr>
                <w:rFonts w:hint="eastAsia" w:ascii="仿宋" w:hAnsi="仿宋" w:eastAsia="仿宋" w:cs="仿宋"/>
                <w:color w:val="auto"/>
                <w:kern w:val="0"/>
                <w:sz w:val="22"/>
                <w:szCs w:val="22"/>
                <w:lang w:bidi="ar"/>
              </w:rPr>
              <w:t>4717</w:t>
            </w:r>
            <w:r>
              <w:rPr>
                <w:rFonts w:hint="eastAsia" w:ascii="仿宋" w:hAnsi="仿宋" w:eastAsia="仿宋" w:cs="仿宋"/>
                <w:color w:val="auto"/>
                <w:kern w:val="0"/>
                <w:sz w:val="22"/>
                <w:szCs w:val="22"/>
                <w:lang w:val="en-US" w:eastAsia="zh-CN" w:bidi="ar"/>
              </w:rPr>
              <w:t>元/台班</w:t>
            </w:r>
          </w:p>
        </w:tc>
        <w:tc>
          <w:tcPr>
            <w:tcW w:w="1800" w:type="dxa"/>
            <w:vMerge w:val="continue"/>
            <w:shd w:val="clear" w:color="auto" w:fill="auto"/>
            <w:noWrap w:val="0"/>
            <w:vAlign w:val="center"/>
          </w:tcPr>
          <w:p w14:paraId="462953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bidi="ar"/>
              </w:rPr>
            </w:pPr>
          </w:p>
        </w:tc>
        <w:tc>
          <w:tcPr>
            <w:tcW w:w="2460" w:type="dxa"/>
            <w:vMerge w:val="continue"/>
            <w:shd w:val="clear" w:color="auto" w:fill="auto"/>
            <w:noWrap w:val="0"/>
            <w:vAlign w:val="center"/>
          </w:tcPr>
          <w:p w14:paraId="30ACE2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8" w:type="dxa"/>
            <w:shd w:val="clear" w:color="auto" w:fill="auto"/>
            <w:noWrap w:val="0"/>
            <w:vAlign w:val="center"/>
          </w:tcPr>
          <w:p w14:paraId="664132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z w:val="22"/>
                <w:szCs w:val="22"/>
              </w:rPr>
              <w:t>1台班起</w:t>
            </w:r>
          </w:p>
        </w:tc>
        <w:tc>
          <w:tcPr>
            <w:tcW w:w="1408" w:type="dxa"/>
            <w:vMerge w:val="continue"/>
            <w:shd w:val="clear" w:color="auto" w:fill="auto"/>
            <w:noWrap w:val="0"/>
            <w:vAlign w:val="center"/>
          </w:tcPr>
          <w:p w14:paraId="55A53B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sz w:val="22"/>
                <w:szCs w:val="22"/>
              </w:rPr>
            </w:pPr>
          </w:p>
        </w:tc>
      </w:tr>
      <w:tr w14:paraId="5EC5E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656" w:type="dxa"/>
            <w:shd w:val="clear" w:color="auto" w:fill="auto"/>
            <w:noWrap w:val="0"/>
            <w:vAlign w:val="center"/>
          </w:tcPr>
          <w:p w14:paraId="3217E4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11</w:t>
            </w:r>
          </w:p>
        </w:tc>
        <w:tc>
          <w:tcPr>
            <w:tcW w:w="1623" w:type="dxa"/>
            <w:shd w:val="clear" w:color="auto" w:fill="auto"/>
            <w:noWrap w:val="0"/>
            <w:vAlign w:val="center"/>
          </w:tcPr>
          <w:p w14:paraId="67B85F1B">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汽车起重机</w:t>
            </w:r>
          </w:p>
        </w:tc>
        <w:tc>
          <w:tcPr>
            <w:tcW w:w="1305" w:type="dxa"/>
            <w:shd w:val="clear" w:color="auto" w:fill="auto"/>
            <w:noWrap w:val="0"/>
            <w:vAlign w:val="center"/>
          </w:tcPr>
          <w:p w14:paraId="734D38EA">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200T</w:t>
            </w:r>
          </w:p>
        </w:tc>
        <w:tc>
          <w:tcPr>
            <w:tcW w:w="2565" w:type="dxa"/>
            <w:shd w:val="clear" w:color="auto" w:fill="auto"/>
            <w:noWrap w:val="0"/>
            <w:vAlign w:val="center"/>
          </w:tcPr>
          <w:p w14:paraId="48943D6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配合现场吊运材料等</w:t>
            </w:r>
          </w:p>
        </w:tc>
        <w:tc>
          <w:tcPr>
            <w:tcW w:w="1755" w:type="dxa"/>
            <w:shd w:val="clear" w:color="auto" w:fill="auto"/>
            <w:noWrap w:val="0"/>
            <w:vAlign w:val="center"/>
          </w:tcPr>
          <w:p w14:paraId="1F2D96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bidi="ar"/>
              </w:rPr>
            </w:pPr>
            <w:r>
              <w:rPr>
                <w:rFonts w:hint="eastAsia" w:ascii="仿宋" w:hAnsi="仿宋" w:eastAsia="仿宋" w:cs="仿宋"/>
                <w:color w:val="auto"/>
                <w:kern w:val="0"/>
                <w:sz w:val="22"/>
                <w:szCs w:val="22"/>
                <w:lang w:bidi="ar"/>
              </w:rPr>
              <w:t>7075</w:t>
            </w:r>
            <w:r>
              <w:rPr>
                <w:rFonts w:hint="eastAsia" w:ascii="仿宋" w:hAnsi="仿宋" w:eastAsia="仿宋" w:cs="仿宋"/>
                <w:color w:val="auto"/>
                <w:kern w:val="0"/>
                <w:sz w:val="22"/>
                <w:szCs w:val="22"/>
                <w:lang w:val="en-US" w:eastAsia="zh-CN" w:bidi="ar"/>
              </w:rPr>
              <w:t>元/台班</w:t>
            </w:r>
          </w:p>
        </w:tc>
        <w:tc>
          <w:tcPr>
            <w:tcW w:w="1800" w:type="dxa"/>
            <w:vMerge w:val="continue"/>
            <w:shd w:val="clear" w:color="auto" w:fill="auto"/>
            <w:noWrap w:val="0"/>
            <w:vAlign w:val="center"/>
          </w:tcPr>
          <w:p w14:paraId="3BB03B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bidi="ar"/>
              </w:rPr>
            </w:pPr>
          </w:p>
        </w:tc>
        <w:tc>
          <w:tcPr>
            <w:tcW w:w="2460" w:type="dxa"/>
            <w:vMerge w:val="continue"/>
            <w:shd w:val="clear" w:color="auto" w:fill="auto"/>
            <w:noWrap w:val="0"/>
            <w:vAlign w:val="center"/>
          </w:tcPr>
          <w:p w14:paraId="413C0D2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8" w:type="dxa"/>
            <w:shd w:val="clear" w:color="auto" w:fill="auto"/>
            <w:noWrap w:val="0"/>
            <w:vAlign w:val="center"/>
          </w:tcPr>
          <w:p w14:paraId="62DE10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z w:val="22"/>
                <w:szCs w:val="22"/>
              </w:rPr>
              <w:t>1台班起</w:t>
            </w:r>
          </w:p>
        </w:tc>
        <w:tc>
          <w:tcPr>
            <w:tcW w:w="1408" w:type="dxa"/>
            <w:vMerge w:val="continue"/>
            <w:shd w:val="clear" w:color="auto" w:fill="auto"/>
            <w:noWrap w:val="0"/>
            <w:vAlign w:val="center"/>
          </w:tcPr>
          <w:p w14:paraId="35FA5F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color w:val="auto"/>
                <w:sz w:val="22"/>
                <w:szCs w:val="22"/>
              </w:rPr>
            </w:pPr>
          </w:p>
        </w:tc>
      </w:tr>
      <w:bookmarkEnd w:id="0"/>
      <w:bookmarkEnd w:id="1"/>
      <w:tr w14:paraId="4BDB9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7904" w:type="dxa"/>
            <w:gridSpan w:val="5"/>
            <w:noWrap w:val="0"/>
            <w:vAlign w:val="center"/>
          </w:tcPr>
          <w:p w14:paraId="0DB8B3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7076" w:type="dxa"/>
            <w:gridSpan w:val="4"/>
            <w:shd w:val="clear" w:color="auto" w:fill="auto"/>
            <w:noWrap w:val="0"/>
            <w:vAlign w:val="center"/>
          </w:tcPr>
          <w:p w14:paraId="7665E0A3">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r>
              <w:rPr>
                <w:rFonts w:hint="eastAsia" w:ascii="仿宋" w:hAnsi="仿宋" w:eastAsia="仿宋" w:cs="仿宋"/>
                <w:b/>
                <w:bCs w:val="0"/>
                <w:sz w:val="24"/>
                <w:szCs w:val="24"/>
                <w:lang w:val="en-US" w:eastAsia="zh-CN"/>
              </w:rPr>
              <w:t>200000.00元</w:t>
            </w:r>
          </w:p>
        </w:tc>
      </w:tr>
      <w:tr w14:paraId="39508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71" w:hRule="atLeast"/>
          <w:jc w:val="center"/>
        </w:trPr>
        <w:tc>
          <w:tcPr>
            <w:tcW w:w="14980" w:type="dxa"/>
            <w:gridSpan w:val="9"/>
            <w:noWrap w:val="0"/>
            <w:vAlign w:val="center"/>
          </w:tcPr>
          <w:p w14:paraId="178309E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包含且不仅限于以下内容：</w:t>
            </w:r>
          </w:p>
          <w:p w14:paraId="6D010E01">
            <w:pPr>
              <w:keepNext w:val="0"/>
              <w:keepLines w:val="0"/>
              <w:widowControl w:val="0"/>
              <w:numPr>
                <w:ilvl w:val="0"/>
                <w:numId w:val="5"/>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以上机械型号均为预估；工程量按实际完成量进行结算量进行结算。</w:t>
            </w:r>
          </w:p>
          <w:p w14:paraId="5D926AB3">
            <w:pPr>
              <w:keepNext w:val="0"/>
              <w:keepLines w:val="0"/>
              <w:widowControl w:val="0"/>
              <w:numPr>
                <w:ilvl w:val="0"/>
                <w:numId w:val="5"/>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若现场使用的汽车起重机吨位不在合同约定范围内，将按2025年铜冠建筑安装股份有限公司机械租赁指导价（不含税）×成交下浮率进行结算。</w:t>
            </w:r>
          </w:p>
          <w:p w14:paraId="58918310">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等，为此项工作内容施工发生的发生的一切费用。</w:t>
            </w:r>
          </w:p>
          <w:p w14:paraId="11E03CC5">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4F73FF13">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0F6FDAD4">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1225" w:right="1417" w:bottom="771"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EED664"/>
    <w:multiLevelType w:val="singleLevel"/>
    <w:tmpl w:val="AAEED664"/>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CBDE79EE"/>
    <w:multiLevelType w:val="singleLevel"/>
    <w:tmpl w:val="CBDE79EE"/>
    <w:lvl w:ilvl="0" w:tentative="0">
      <w:start w:val="1"/>
      <w:numFmt w:val="decimal"/>
      <w:suff w:val="nothing"/>
      <w:lvlText w:val="%1、"/>
      <w:lvlJc w:val="left"/>
    </w:lvl>
  </w:abstractNum>
  <w:abstractNum w:abstractNumId="3">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4738EE"/>
    <w:rsid w:val="01AF2C21"/>
    <w:rsid w:val="01D4135C"/>
    <w:rsid w:val="0216715F"/>
    <w:rsid w:val="0233386D"/>
    <w:rsid w:val="025370AD"/>
    <w:rsid w:val="02C32E43"/>
    <w:rsid w:val="0301396B"/>
    <w:rsid w:val="039667A9"/>
    <w:rsid w:val="03980C9F"/>
    <w:rsid w:val="03E75026"/>
    <w:rsid w:val="0479149D"/>
    <w:rsid w:val="04AB1DE0"/>
    <w:rsid w:val="04CF6EEC"/>
    <w:rsid w:val="05103A0B"/>
    <w:rsid w:val="05393890"/>
    <w:rsid w:val="055204AE"/>
    <w:rsid w:val="0571302A"/>
    <w:rsid w:val="05BF33B5"/>
    <w:rsid w:val="05EB48F5"/>
    <w:rsid w:val="067D01D2"/>
    <w:rsid w:val="068C3E93"/>
    <w:rsid w:val="06B01930"/>
    <w:rsid w:val="06C54CB0"/>
    <w:rsid w:val="06D33870"/>
    <w:rsid w:val="07091040"/>
    <w:rsid w:val="072F12C0"/>
    <w:rsid w:val="074958E1"/>
    <w:rsid w:val="07EA23E1"/>
    <w:rsid w:val="080041F1"/>
    <w:rsid w:val="081E6D6D"/>
    <w:rsid w:val="083B347B"/>
    <w:rsid w:val="084A3F14"/>
    <w:rsid w:val="086B7EE6"/>
    <w:rsid w:val="08CB54CA"/>
    <w:rsid w:val="08D86F1C"/>
    <w:rsid w:val="08FD6983"/>
    <w:rsid w:val="08FF094D"/>
    <w:rsid w:val="091837BC"/>
    <w:rsid w:val="09A3577C"/>
    <w:rsid w:val="09E85A77"/>
    <w:rsid w:val="0A026946"/>
    <w:rsid w:val="0A231745"/>
    <w:rsid w:val="0A9B46A5"/>
    <w:rsid w:val="0A9E1234"/>
    <w:rsid w:val="0AA7731A"/>
    <w:rsid w:val="0B1B65D7"/>
    <w:rsid w:val="0B2B537E"/>
    <w:rsid w:val="0B2D7AAE"/>
    <w:rsid w:val="0B330D82"/>
    <w:rsid w:val="0B512FB6"/>
    <w:rsid w:val="0B6D6042"/>
    <w:rsid w:val="0B7D028E"/>
    <w:rsid w:val="0BBA0AF6"/>
    <w:rsid w:val="0BEC5846"/>
    <w:rsid w:val="0BFF2A12"/>
    <w:rsid w:val="0C084B3C"/>
    <w:rsid w:val="0C3D1EB8"/>
    <w:rsid w:val="0C6241B2"/>
    <w:rsid w:val="0C742CC6"/>
    <w:rsid w:val="0CC46135"/>
    <w:rsid w:val="0D166265"/>
    <w:rsid w:val="0D2B4E23"/>
    <w:rsid w:val="0DB02216"/>
    <w:rsid w:val="0DCB52A1"/>
    <w:rsid w:val="0DD95C10"/>
    <w:rsid w:val="0E1327A4"/>
    <w:rsid w:val="0E3E5A73"/>
    <w:rsid w:val="0E6F3E7F"/>
    <w:rsid w:val="0E745939"/>
    <w:rsid w:val="0E8044EC"/>
    <w:rsid w:val="0E876D2F"/>
    <w:rsid w:val="0EC82FD7"/>
    <w:rsid w:val="0EDB1514"/>
    <w:rsid w:val="0EF10D38"/>
    <w:rsid w:val="0EF425D6"/>
    <w:rsid w:val="0F4470B9"/>
    <w:rsid w:val="0F7A0D2D"/>
    <w:rsid w:val="0F7A2ADB"/>
    <w:rsid w:val="0FDA5C70"/>
    <w:rsid w:val="10181623"/>
    <w:rsid w:val="10ED552F"/>
    <w:rsid w:val="1102547E"/>
    <w:rsid w:val="11196324"/>
    <w:rsid w:val="11427629"/>
    <w:rsid w:val="11C20769"/>
    <w:rsid w:val="12083F5F"/>
    <w:rsid w:val="122338FE"/>
    <w:rsid w:val="122F7967"/>
    <w:rsid w:val="125E4C7B"/>
    <w:rsid w:val="12883761"/>
    <w:rsid w:val="12A820AD"/>
    <w:rsid w:val="13A42B0E"/>
    <w:rsid w:val="13F53078"/>
    <w:rsid w:val="14634486"/>
    <w:rsid w:val="149B034A"/>
    <w:rsid w:val="14AE3227"/>
    <w:rsid w:val="14F57DCF"/>
    <w:rsid w:val="1500314F"/>
    <w:rsid w:val="15721970"/>
    <w:rsid w:val="15802E15"/>
    <w:rsid w:val="15EF3AF7"/>
    <w:rsid w:val="165B52A2"/>
    <w:rsid w:val="16D01498"/>
    <w:rsid w:val="16FF7D6A"/>
    <w:rsid w:val="1715758D"/>
    <w:rsid w:val="172F68A1"/>
    <w:rsid w:val="178D16D0"/>
    <w:rsid w:val="17B374D2"/>
    <w:rsid w:val="17D86D23"/>
    <w:rsid w:val="1830291B"/>
    <w:rsid w:val="18504D21"/>
    <w:rsid w:val="187417C5"/>
    <w:rsid w:val="18AF15FD"/>
    <w:rsid w:val="18DE057F"/>
    <w:rsid w:val="198C1092"/>
    <w:rsid w:val="19CA6206"/>
    <w:rsid w:val="1A2F05AD"/>
    <w:rsid w:val="1A681675"/>
    <w:rsid w:val="1ABC669E"/>
    <w:rsid w:val="1AE5658C"/>
    <w:rsid w:val="1B154000"/>
    <w:rsid w:val="1B1A1616"/>
    <w:rsid w:val="1B1C0EEA"/>
    <w:rsid w:val="1B7B6D63"/>
    <w:rsid w:val="1BBF797C"/>
    <w:rsid w:val="1BFB18C8"/>
    <w:rsid w:val="1C24274C"/>
    <w:rsid w:val="1C602FB9"/>
    <w:rsid w:val="1C7D3C0B"/>
    <w:rsid w:val="1C7F5BD5"/>
    <w:rsid w:val="1C865229"/>
    <w:rsid w:val="1C92116A"/>
    <w:rsid w:val="1CD31A7D"/>
    <w:rsid w:val="1D265B26"/>
    <w:rsid w:val="1D3C1D18"/>
    <w:rsid w:val="1D6F4C43"/>
    <w:rsid w:val="1DA13929"/>
    <w:rsid w:val="1DA5166B"/>
    <w:rsid w:val="1DBB0E8E"/>
    <w:rsid w:val="1DE877AA"/>
    <w:rsid w:val="1DED6B6E"/>
    <w:rsid w:val="1DEE2CCA"/>
    <w:rsid w:val="1E1862E1"/>
    <w:rsid w:val="1E5C12DD"/>
    <w:rsid w:val="1E8C282B"/>
    <w:rsid w:val="20191E9C"/>
    <w:rsid w:val="2037683E"/>
    <w:rsid w:val="20711CD8"/>
    <w:rsid w:val="208C0D8C"/>
    <w:rsid w:val="20C52024"/>
    <w:rsid w:val="20F57ADE"/>
    <w:rsid w:val="21A61547"/>
    <w:rsid w:val="21FD3E53"/>
    <w:rsid w:val="22484CBB"/>
    <w:rsid w:val="225C0752"/>
    <w:rsid w:val="23412FE6"/>
    <w:rsid w:val="236C49D9"/>
    <w:rsid w:val="23FC26F5"/>
    <w:rsid w:val="24613E12"/>
    <w:rsid w:val="246C39C8"/>
    <w:rsid w:val="246E6DF4"/>
    <w:rsid w:val="24E72569"/>
    <w:rsid w:val="24F240EB"/>
    <w:rsid w:val="254C2D14"/>
    <w:rsid w:val="25590EC9"/>
    <w:rsid w:val="256C7B8B"/>
    <w:rsid w:val="257F27A2"/>
    <w:rsid w:val="25F34F3E"/>
    <w:rsid w:val="25F7787F"/>
    <w:rsid w:val="261A071C"/>
    <w:rsid w:val="26211AAB"/>
    <w:rsid w:val="26265313"/>
    <w:rsid w:val="26720558"/>
    <w:rsid w:val="26996894"/>
    <w:rsid w:val="26A26CEB"/>
    <w:rsid w:val="2755433D"/>
    <w:rsid w:val="27982240"/>
    <w:rsid w:val="27F95E40"/>
    <w:rsid w:val="2859765A"/>
    <w:rsid w:val="28C52BC1"/>
    <w:rsid w:val="28F6721F"/>
    <w:rsid w:val="295D3061"/>
    <w:rsid w:val="29606D8E"/>
    <w:rsid w:val="299D4A4C"/>
    <w:rsid w:val="29A812EF"/>
    <w:rsid w:val="29BD1AEA"/>
    <w:rsid w:val="2A1902C2"/>
    <w:rsid w:val="2A9C0C1B"/>
    <w:rsid w:val="2B532F4F"/>
    <w:rsid w:val="2BFD6B16"/>
    <w:rsid w:val="2C64541C"/>
    <w:rsid w:val="2C7C5C8D"/>
    <w:rsid w:val="2C995D0F"/>
    <w:rsid w:val="2D3E7816"/>
    <w:rsid w:val="2D594220"/>
    <w:rsid w:val="2D6706EB"/>
    <w:rsid w:val="2D774259"/>
    <w:rsid w:val="2DB43204"/>
    <w:rsid w:val="2ECE6548"/>
    <w:rsid w:val="2F1523C9"/>
    <w:rsid w:val="2F29557C"/>
    <w:rsid w:val="2F6C023B"/>
    <w:rsid w:val="2FD7142C"/>
    <w:rsid w:val="30131353"/>
    <w:rsid w:val="30293393"/>
    <w:rsid w:val="306204E7"/>
    <w:rsid w:val="30D974B7"/>
    <w:rsid w:val="30E96026"/>
    <w:rsid w:val="311F3E7F"/>
    <w:rsid w:val="314948D9"/>
    <w:rsid w:val="319677F1"/>
    <w:rsid w:val="31B9528D"/>
    <w:rsid w:val="322D17D7"/>
    <w:rsid w:val="325A51BE"/>
    <w:rsid w:val="3289567B"/>
    <w:rsid w:val="32F96838"/>
    <w:rsid w:val="331E0F20"/>
    <w:rsid w:val="333663C1"/>
    <w:rsid w:val="33482D6D"/>
    <w:rsid w:val="33703A4F"/>
    <w:rsid w:val="337445C0"/>
    <w:rsid w:val="33890C8F"/>
    <w:rsid w:val="338F274A"/>
    <w:rsid w:val="339C621D"/>
    <w:rsid w:val="33D3159C"/>
    <w:rsid w:val="34284F5F"/>
    <w:rsid w:val="344E43B3"/>
    <w:rsid w:val="34545741"/>
    <w:rsid w:val="345637D1"/>
    <w:rsid w:val="346848DB"/>
    <w:rsid w:val="34931DC5"/>
    <w:rsid w:val="34F52A80"/>
    <w:rsid w:val="354F3A99"/>
    <w:rsid w:val="357B16F3"/>
    <w:rsid w:val="36050FAB"/>
    <w:rsid w:val="36145188"/>
    <w:rsid w:val="362178A5"/>
    <w:rsid w:val="36227ADF"/>
    <w:rsid w:val="362C0724"/>
    <w:rsid w:val="36511F38"/>
    <w:rsid w:val="367256CF"/>
    <w:rsid w:val="373B612C"/>
    <w:rsid w:val="37AF03D6"/>
    <w:rsid w:val="37B60ABE"/>
    <w:rsid w:val="37EE64F4"/>
    <w:rsid w:val="37FC4126"/>
    <w:rsid w:val="382E02B2"/>
    <w:rsid w:val="3872263A"/>
    <w:rsid w:val="38784692"/>
    <w:rsid w:val="38C74734"/>
    <w:rsid w:val="38F1355F"/>
    <w:rsid w:val="39934616"/>
    <w:rsid w:val="39DC7C3B"/>
    <w:rsid w:val="3A103EB8"/>
    <w:rsid w:val="3A3173ED"/>
    <w:rsid w:val="3A4E69FC"/>
    <w:rsid w:val="3A7A3727"/>
    <w:rsid w:val="3AA52853"/>
    <w:rsid w:val="3AC56A51"/>
    <w:rsid w:val="3AEE567E"/>
    <w:rsid w:val="3B076549"/>
    <w:rsid w:val="3B4E6CEA"/>
    <w:rsid w:val="3B645DB3"/>
    <w:rsid w:val="3BD72EE0"/>
    <w:rsid w:val="3BE92C13"/>
    <w:rsid w:val="3C5B75D3"/>
    <w:rsid w:val="3C7823C8"/>
    <w:rsid w:val="3CB46D7D"/>
    <w:rsid w:val="3D3879AE"/>
    <w:rsid w:val="3D3A7C13"/>
    <w:rsid w:val="3D74650C"/>
    <w:rsid w:val="3DB159B2"/>
    <w:rsid w:val="3DC57BD0"/>
    <w:rsid w:val="3DCB0822"/>
    <w:rsid w:val="3DCC4487"/>
    <w:rsid w:val="3E474521"/>
    <w:rsid w:val="3ECD4126"/>
    <w:rsid w:val="3F0D4E6A"/>
    <w:rsid w:val="3F1F079B"/>
    <w:rsid w:val="3F8D52CA"/>
    <w:rsid w:val="3F9D61EE"/>
    <w:rsid w:val="3FCA68B7"/>
    <w:rsid w:val="40C47A67"/>
    <w:rsid w:val="412D70FE"/>
    <w:rsid w:val="414D3E27"/>
    <w:rsid w:val="41525675"/>
    <w:rsid w:val="419D4283"/>
    <w:rsid w:val="41AA074E"/>
    <w:rsid w:val="41B46B47"/>
    <w:rsid w:val="41EC6FB9"/>
    <w:rsid w:val="42350960"/>
    <w:rsid w:val="424B79E0"/>
    <w:rsid w:val="4252770E"/>
    <w:rsid w:val="42A70A2B"/>
    <w:rsid w:val="42F63800"/>
    <w:rsid w:val="4304767F"/>
    <w:rsid w:val="43104F29"/>
    <w:rsid w:val="431F0967"/>
    <w:rsid w:val="434963F7"/>
    <w:rsid w:val="438A4CDB"/>
    <w:rsid w:val="439F612A"/>
    <w:rsid w:val="43A538C3"/>
    <w:rsid w:val="43C84B06"/>
    <w:rsid w:val="43D31A6B"/>
    <w:rsid w:val="43EF4B3E"/>
    <w:rsid w:val="43F74F20"/>
    <w:rsid w:val="441344E9"/>
    <w:rsid w:val="44373263"/>
    <w:rsid w:val="44494618"/>
    <w:rsid w:val="44842956"/>
    <w:rsid w:val="449E657A"/>
    <w:rsid w:val="44B922E9"/>
    <w:rsid w:val="451F76A5"/>
    <w:rsid w:val="454315E6"/>
    <w:rsid w:val="455410FD"/>
    <w:rsid w:val="45D43FEC"/>
    <w:rsid w:val="45EF7078"/>
    <w:rsid w:val="46045E94"/>
    <w:rsid w:val="464949DA"/>
    <w:rsid w:val="465E02D2"/>
    <w:rsid w:val="466979AB"/>
    <w:rsid w:val="471400CF"/>
    <w:rsid w:val="472C3839"/>
    <w:rsid w:val="47944AB8"/>
    <w:rsid w:val="47BA5463"/>
    <w:rsid w:val="483A26D1"/>
    <w:rsid w:val="48981C49"/>
    <w:rsid w:val="48BF72F3"/>
    <w:rsid w:val="490E63A6"/>
    <w:rsid w:val="499C3073"/>
    <w:rsid w:val="499D4ACB"/>
    <w:rsid w:val="49C15A01"/>
    <w:rsid w:val="49EC0EA9"/>
    <w:rsid w:val="4A1C7E79"/>
    <w:rsid w:val="4AA04DE4"/>
    <w:rsid w:val="4B0C67B3"/>
    <w:rsid w:val="4BA803F5"/>
    <w:rsid w:val="4BBA0128"/>
    <w:rsid w:val="4C0C763A"/>
    <w:rsid w:val="4C9B1D07"/>
    <w:rsid w:val="4CBA4AF2"/>
    <w:rsid w:val="4CCA439B"/>
    <w:rsid w:val="4CEB320D"/>
    <w:rsid w:val="4D035C25"/>
    <w:rsid w:val="4D0647CF"/>
    <w:rsid w:val="4D9F7BB9"/>
    <w:rsid w:val="4DA8143A"/>
    <w:rsid w:val="4E37780E"/>
    <w:rsid w:val="4E791BD4"/>
    <w:rsid w:val="4E822997"/>
    <w:rsid w:val="4ED20DFA"/>
    <w:rsid w:val="4F0F5DA2"/>
    <w:rsid w:val="4F397E6D"/>
    <w:rsid w:val="4F3A0996"/>
    <w:rsid w:val="4F464194"/>
    <w:rsid w:val="4F561F16"/>
    <w:rsid w:val="4F764499"/>
    <w:rsid w:val="4FE237A9"/>
    <w:rsid w:val="50447FC0"/>
    <w:rsid w:val="504C2BE7"/>
    <w:rsid w:val="505446A7"/>
    <w:rsid w:val="505C17AE"/>
    <w:rsid w:val="50B629DB"/>
    <w:rsid w:val="50C730CB"/>
    <w:rsid w:val="513756A7"/>
    <w:rsid w:val="516923D4"/>
    <w:rsid w:val="51750D79"/>
    <w:rsid w:val="51825669"/>
    <w:rsid w:val="5196753F"/>
    <w:rsid w:val="519A433C"/>
    <w:rsid w:val="51B50E5A"/>
    <w:rsid w:val="51BD44CE"/>
    <w:rsid w:val="51F67AC6"/>
    <w:rsid w:val="5233653E"/>
    <w:rsid w:val="52534714"/>
    <w:rsid w:val="526C1FF2"/>
    <w:rsid w:val="5322748C"/>
    <w:rsid w:val="53810440"/>
    <w:rsid w:val="54106B37"/>
    <w:rsid w:val="54243352"/>
    <w:rsid w:val="54C17E31"/>
    <w:rsid w:val="54F40207"/>
    <w:rsid w:val="554830C1"/>
    <w:rsid w:val="554A6079"/>
    <w:rsid w:val="557B0928"/>
    <w:rsid w:val="56300C76"/>
    <w:rsid w:val="5641748B"/>
    <w:rsid w:val="56424FA2"/>
    <w:rsid w:val="56B4262E"/>
    <w:rsid w:val="56EB388B"/>
    <w:rsid w:val="56F75D8C"/>
    <w:rsid w:val="573963A5"/>
    <w:rsid w:val="575B631B"/>
    <w:rsid w:val="576158FB"/>
    <w:rsid w:val="579C59EC"/>
    <w:rsid w:val="57AD55DD"/>
    <w:rsid w:val="57F30C49"/>
    <w:rsid w:val="5807041D"/>
    <w:rsid w:val="583A23D4"/>
    <w:rsid w:val="583F79D3"/>
    <w:rsid w:val="58691989"/>
    <w:rsid w:val="58873140"/>
    <w:rsid w:val="58C048EF"/>
    <w:rsid w:val="58C6010C"/>
    <w:rsid w:val="58F960F8"/>
    <w:rsid w:val="594F7761"/>
    <w:rsid w:val="59672964"/>
    <w:rsid w:val="59900C4D"/>
    <w:rsid w:val="599C0E6D"/>
    <w:rsid w:val="59C935F6"/>
    <w:rsid w:val="59CC52AE"/>
    <w:rsid w:val="59DE4FE1"/>
    <w:rsid w:val="5A251A57"/>
    <w:rsid w:val="5A947382"/>
    <w:rsid w:val="5A9D4E9D"/>
    <w:rsid w:val="5ABC477B"/>
    <w:rsid w:val="5AD47530"/>
    <w:rsid w:val="5B2D7FCE"/>
    <w:rsid w:val="5BC14BBB"/>
    <w:rsid w:val="5BCB77E7"/>
    <w:rsid w:val="5C1E1084"/>
    <w:rsid w:val="5C3A62DE"/>
    <w:rsid w:val="5C5477DD"/>
    <w:rsid w:val="5C775650"/>
    <w:rsid w:val="5C974AF9"/>
    <w:rsid w:val="5CCB7A9F"/>
    <w:rsid w:val="5CF3349A"/>
    <w:rsid w:val="5D0134C1"/>
    <w:rsid w:val="5D2E44D2"/>
    <w:rsid w:val="5D46181B"/>
    <w:rsid w:val="5D6F64C5"/>
    <w:rsid w:val="5D8A1058"/>
    <w:rsid w:val="5DBE13B2"/>
    <w:rsid w:val="5E017E34"/>
    <w:rsid w:val="5E4044BD"/>
    <w:rsid w:val="5E4C2E61"/>
    <w:rsid w:val="5ECB022A"/>
    <w:rsid w:val="5ED81A2D"/>
    <w:rsid w:val="5F724B4A"/>
    <w:rsid w:val="5FB567E4"/>
    <w:rsid w:val="601B5879"/>
    <w:rsid w:val="60A96349"/>
    <w:rsid w:val="60AF1486"/>
    <w:rsid w:val="60F035C2"/>
    <w:rsid w:val="610267D6"/>
    <w:rsid w:val="611107BE"/>
    <w:rsid w:val="616C0C8E"/>
    <w:rsid w:val="61AB07CC"/>
    <w:rsid w:val="61C3168D"/>
    <w:rsid w:val="624F4CCE"/>
    <w:rsid w:val="626C4E3A"/>
    <w:rsid w:val="62AA63A9"/>
    <w:rsid w:val="62B53CBA"/>
    <w:rsid w:val="62DA4EE0"/>
    <w:rsid w:val="6332455D"/>
    <w:rsid w:val="63584057"/>
    <w:rsid w:val="63B67C1B"/>
    <w:rsid w:val="63C161DB"/>
    <w:rsid w:val="63DD2403"/>
    <w:rsid w:val="63E45615"/>
    <w:rsid w:val="642E3C33"/>
    <w:rsid w:val="643A6543"/>
    <w:rsid w:val="646474F6"/>
    <w:rsid w:val="64915A72"/>
    <w:rsid w:val="65891471"/>
    <w:rsid w:val="65E25E59"/>
    <w:rsid w:val="66131908"/>
    <w:rsid w:val="667C1E0A"/>
    <w:rsid w:val="66C20165"/>
    <w:rsid w:val="66CB6466"/>
    <w:rsid w:val="66E03A9F"/>
    <w:rsid w:val="66F57FEB"/>
    <w:rsid w:val="672901E4"/>
    <w:rsid w:val="67445ADA"/>
    <w:rsid w:val="67874F0A"/>
    <w:rsid w:val="67D15122"/>
    <w:rsid w:val="681D13CB"/>
    <w:rsid w:val="685079F2"/>
    <w:rsid w:val="685968A7"/>
    <w:rsid w:val="68761B8F"/>
    <w:rsid w:val="68CF0917"/>
    <w:rsid w:val="690C1B6B"/>
    <w:rsid w:val="691E53FA"/>
    <w:rsid w:val="692549DB"/>
    <w:rsid w:val="693602C7"/>
    <w:rsid w:val="693E20EC"/>
    <w:rsid w:val="69407A67"/>
    <w:rsid w:val="694E41F6"/>
    <w:rsid w:val="69AD4D95"/>
    <w:rsid w:val="69E60D0A"/>
    <w:rsid w:val="6A315ABB"/>
    <w:rsid w:val="6A7F2C51"/>
    <w:rsid w:val="6A87598F"/>
    <w:rsid w:val="6A9A513C"/>
    <w:rsid w:val="6AB37DC4"/>
    <w:rsid w:val="6ACB3360"/>
    <w:rsid w:val="6AED777A"/>
    <w:rsid w:val="6AEF34F2"/>
    <w:rsid w:val="6B1F2406"/>
    <w:rsid w:val="6B302BB3"/>
    <w:rsid w:val="6B56531F"/>
    <w:rsid w:val="6B9B2799"/>
    <w:rsid w:val="6C303DC2"/>
    <w:rsid w:val="6C315445"/>
    <w:rsid w:val="6C5C5C5B"/>
    <w:rsid w:val="6C717289"/>
    <w:rsid w:val="6CD7423E"/>
    <w:rsid w:val="6CF90658"/>
    <w:rsid w:val="6D055E2C"/>
    <w:rsid w:val="6D505D9E"/>
    <w:rsid w:val="6D8F4B19"/>
    <w:rsid w:val="6DFD7CD4"/>
    <w:rsid w:val="6E1119D2"/>
    <w:rsid w:val="6E4C64BB"/>
    <w:rsid w:val="6E4D09A9"/>
    <w:rsid w:val="6E7D0E15"/>
    <w:rsid w:val="6EAE74F5"/>
    <w:rsid w:val="6EC238BC"/>
    <w:rsid w:val="6ED21161"/>
    <w:rsid w:val="6F0B6C96"/>
    <w:rsid w:val="6F26325B"/>
    <w:rsid w:val="6F2A019B"/>
    <w:rsid w:val="6F6A27B8"/>
    <w:rsid w:val="6FA67EF8"/>
    <w:rsid w:val="6FC0545D"/>
    <w:rsid w:val="6FE32681"/>
    <w:rsid w:val="701F3363"/>
    <w:rsid w:val="703849D5"/>
    <w:rsid w:val="705A029E"/>
    <w:rsid w:val="705F4C76"/>
    <w:rsid w:val="706A53C9"/>
    <w:rsid w:val="70712092"/>
    <w:rsid w:val="708459B4"/>
    <w:rsid w:val="70912956"/>
    <w:rsid w:val="70E62CA2"/>
    <w:rsid w:val="71091B6B"/>
    <w:rsid w:val="711712EF"/>
    <w:rsid w:val="71350F39"/>
    <w:rsid w:val="71566BCB"/>
    <w:rsid w:val="71900E5F"/>
    <w:rsid w:val="71956476"/>
    <w:rsid w:val="72155D12"/>
    <w:rsid w:val="7298775E"/>
    <w:rsid w:val="72C2329A"/>
    <w:rsid w:val="733C4DFB"/>
    <w:rsid w:val="742F60FC"/>
    <w:rsid w:val="74924E27"/>
    <w:rsid w:val="749B0247"/>
    <w:rsid w:val="74B57A97"/>
    <w:rsid w:val="74C4154C"/>
    <w:rsid w:val="74F82FA3"/>
    <w:rsid w:val="750D4B8A"/>
    <w:rsid w:val="75271ADB"/>
    <w:rsid w:val="75A66EA3"/>
    <w:rsid w:val="75AB7FC4"/>
    <w:rsid w:val="75BA021D"/>
    <w:rsid w:val="75C4732A"/>
    <w:rsid w:val="75E579CC"/>
    <w:rsid w:val="76257065"/>
    <w:rsid w:val="766F01AC"/>
    <w:rsid w:val="76E067DC"/>
    <w:rsid w:val="774C75D7"/>
    <w:rsid w:val="779C6EAE"/>
    <w:rsid w:val="77DA2E34"/>
    <w:rsid w:val="780A371A"/>
    <w:rsid w:val="780D7AF1"/>
    <w:rsid w:val="781C33ED"/>
    <w:rsid w:val="7833503D"/>
    <w:rsid w:val="78520C1D"/>
    <w:rsid w:val="787F1108"/>
    <w:rsid w:val="78986F77"/>
    <w:rsid w:val="78D61108"/>
    <w:rsid w:val="793439F5"/>
    <w:rsid w:val="7955321E"/>
    <w:rsid w:val="796E3D99"/>
    <w:rsid w:val="799139C7"/>
    <w:rsid w:val="79BD5174"/>
    <w:rsid w:val="79E9735F"/>
    <w:rsid w:val="79EE2BC7"/>
    <w:rsid w:val="7A562872"/>
    <w:rsid w:val="7AB7E244"/>
    <w:rsid w:val="7AC34054"/>
    <w:rsid w:val="7AEE7323"/>
    <w:rsid w:val="7B6C46EB"/>
    <w:rsid w:val="7B8D7C88"/>
    <w:rsid w:val="7C252C88"/>
    <w:rsid w:val="7C7123FD"/>
    <w:rsid w:val="7C870086"/>
    <w:rsid w:val="7C9F3CAC"/>
    <w:rsid w:val="7CA53A11"/>
    <w:rsid w:val="7CA83501"/>
    <w:rsid w:val="7CB73744"/>
    <w:rsid w:val="7CC61BD9"/>
    <w:rsid w:val="7CE22FC4"/>
    <w:rsid w:val="7CF809B2"/>
    <w:rsid w:val="7CFE0DF7"/>
    <w:rsid w:val="7D007C96"/>
    <w:rsid w:val="7D3A2B5B"/>
    <w:rsid w:val="7D5316BF"/>
    <w:rsid w:val="7D9341B1"/>
    <w:rsid w:val="7DE70C6D"/>
    <w:rsid w:val="7DEF22B8"/>
    <w:rsid w:val="7E065567"/>
    <w:rsid w:val="7E2130A8"/>
    <w:rsid w:val="7E464D80"/>
    <w:rsid w:val="7EA83C8C"/>
    <w:rsid w:val="7ECE2AEB"/>
    <w:rsid w:val="7ECE3A16"/>
    <w:rsid w:val="7ED93E46"/>
    <w:rsid w:val="7F0D7F93"/>
    <w:rsid w:val="7F771683"/>
    <w:rsid w:val="7FA32CA3"/>
    <w:rsid w:val="7FBF303C"/>
    <w:rsid w:val="7FD7282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9</Pages>
  <Words>3987</Words>
  <Characters>4279</Characters>
  <Lines>56</Lines>
  <Paragraphs>15</Paragraphs>
  <TotalTime>0</TotalTime>
  <ScaleCrop>false</ScaleCrop>
  <LinksUpToDate>false</LinksUpToDate>
  <CharactersWithSpaces>4778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梵麓</cp:lastModifiedBy>
  <cp:lastPrinted>2019-04-18T07:02:00Z</cp:lastPrinted>
  <dcterms:modified xsi:type="dcterms:W3CDTF">2025-06-12T01:06:22Z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