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23B11F">
      <w:pPr>
        <w:keepNext w:val="0"/>
        <w:keepLines w:val="0"/>
        <w:widowControl w:val="0"/>
        <w:suppressLineNumbers w:val="0"/>
        <w:shd w:val="clear"/>
        <w:spacing w:before="100" w:beforeAutospacing="1" w:after="100" w:afterAutospacing="1" w:line="360" w:lineRule="auto"/>
        <w:ind w:left="0" w:right="0" w:firstLine="730" w:firstLineChars="200"/>
        <w:jc w:val="both"/>
        <w:rPr>
          <w:rFonts w:hint="eastAsia" w:ascii="宋体" w:hAnsi="宋体" w:eastAsia="宋体" w:cs="宋体"/>
          <w:b/>
          <w:bCs/>
          <w:color w:val="auto"/>
          <w:kern w:val="1"/>
          <w:sz w:val="36"/>
          <w:szCs w:val="36"/>
          <w:highlight w:val="none"/>
          <w:lang w:eastAsia="zh-CN"/>
        </w:rPr>
      </w:pPr>
      <w:bookmarkStart w:id="0" w:name="_Toc402166983"/>
      <w:bookmarkEnd w:id="0"/>
      <w:r>
        <w:rPr>
          <w:rFonts w:hint="eastAsia" w:ascii="宋体" w:hAnsi="宋体" w:eastAsia="宋体" w:cs="宋体"/>
          <w:b/>
          <w:bCs/>
          <w:color w:val="auto"/>
          <w:kern w:val="1"/>
          <w:sz w:val="36"/>
          <w:szCs w:val="36"/>
          <w:highlight w:val="none"/>
          <w:lang w:eastAsia="zh-CN"/>
        </w:rPr>
        <w:t>铜陵有色金属集团铜冠建筑安装股份有限公司</w:t>
      </w:r>
    </w:p>
    <w:p w14:paraId="1D8F809E">
      <w:pPr>
        <w:pStyle w:val="55"/>
        <w:shd w:val="clear"/>
        <w:ind w:left="0" w:leftChars="0" w:firstLine="0" w:firstLineChars="0"/>
        <w:jc w:val="center"/>
        <w:rPr>
          <w:rFonts w:hint="eastAsia" w:asciiTheme="minorEastAsia" w:hAnsiTheme="minorEastAsia" w:eastAsiaTheme="minorEastAsia" w:cstheme="minorEastAsia"/>
          <w:b w:val="0"/>
          <w:bCs w:val="0"/>
          <w:color w:val="auto"/>
          <w:kern w:val="2"/>
          <w:sz w:val="36"/>
          <w:szCs w:val="36"/>
          <w:highlight w:val="none"/>
          <w:lang w:val="en-US" w:eastAsia="zh-CN" w:bidi="ar-SA"/>
        </w:rPr>
      </w:pPr>
      <w:r>
        <w:rPr>
          <w:rFonts w:hint="eastAsia" w:ascii="宋体" w:hAnsi="宋体" w:eastAsia="宋体" w:cs="宋体"/>
          <w:b/>
          <w:bCs/>
          <w:color w:val="auto"/>
          <w:kern w:val="1"/>
          <w:sz w:val="36"/>
          <w:szCs w:val="36"/>
          <w:highlight w:val="none"/>
          <w:lang w:val="en-US" w:eastAsia="zh-CN"/>
        </w:rPr>
        <w:t>2025年度矿山充填胶凝材料运输业务</w:t>
      </w:r>
    </w:p>
    <w:p w14:paraId="54922764">
      <w:pPr>
        <w:tabs>
          <w:tab w:val="left" w:pos="7020"/>
        </w:tabs>
        <w:ind w:firstLine="2175" w:firstLineChars="300"/>
        <w:jc w:val="both"/>
        <w:rPr>
          <w:rFonts w:asciiTheme="minorEastAsia" w:hAnsiTheme="minorEastAsia" w:eastAsiaTheme="minorEastAsia" w:cstheme="minorEastAsia"/>
          <w:b/>
          <w:color w:val="auto"/>
          <w:sz w:val="72"/>
          <w:szCs w:val="72"/>
          <w:highlight w:val="none"/>
        </w:rPr>
      </w:pPr>
      <w:r>
        <w:rPr>
          <w:rFonts w:hint="eastAsia" w:asciiTheme="minorEastAsia" w:hAnsiTheme="minorEastAsia" w:eastAsiaTheme="minorEastAsia" w:cstheme="minorEastAsia"/>
          <w:b/>
          <w:color w:val="auto"/>
          <w:sz w:val="72"/>
          <w:szCs w:val="72"/>
          <w:highlight w:val="none"/>
          <w:lang w:val="en-US" w:eastAsia="zh-CN"/>
        </w:rPr>
        <w:t>询比采购</w:t>
      </w:r>
      <w:r>
        <w:rPr>
          <w:rFonts w:hint="eastAsia" w:asciiTheme="minorEastAsia" w:hAnsiTheme="minorEastAsia" w:eastAsiaTheme="minorEastAsia" w:cstheme="minorEastAsia"/>
          <w:b/>
          <w:color w:val="auto"/>
          <w:sz w:val="72"/>
          <w:szCs w:val="72"/>
          <w:highlight w:val="none"/>
        </w:rPr>
        <w:t>文件</w:t>
      </w:r>
    </w:p>
    <w:p w14:paraId="62BCFB90">
      <w:pPr>
        <w:tabs>
          <w:tab w:val="left" w:pos="7020"/>
        </w:tabs>
        <w:jc w:val="center"/>
        <w:rPr>
          <w:rFonts w:hint="eastAsia" w:asciiTheme="minorEastAsia" w:hAnsiTheme="minorEastAsia" w:eastAsiaTheme="minorEastAsia" w:cstheme="minorEastAsia"/>
          <w:b/>
          <w:color w:val="auto"/>
          <w:sz w:val="52"/>
          <w:szCs w:val="52"/>
          <w:highlight w:val="none"/>
          <w:lang w:eastAsia="zh-CN"/>
        </w:rPr>
      </w:pPr>
      <w:r>
        <w:rPr>
          <w:rFonts w:hint="eastAsia" w:asciiTheme="minorEastAsia" w:hAnsiTheme="minorEastAsia" w:eastAsiaTheme="minorEastAsia" w:cstheme="minorEastAsia"/>
          <w:b/>
          <w:color w:val="auto"/>
          <w:sz w:val="52"/>
          <w:szCs w:val="52"/>
          <w:highlight w:val="none"/>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rPr>
          <w:color w:val="auto"/>
          <w:highlight w:val="none"/>
        </w:rPr>
      </w:pPr>
    </w:p>
    <w:p w14:paraId="3386C053">
      <w:pPr>
        <w:rPr>
          <w:rFonts w:hint="default" w:asciiTheme="minorEastAsia" w:hAnsiTheme="minorEastAsia" w:eastAsiaTheme="minorEastAsia" w:cstheme="minorEastAsia"/>
          <w:b/>
          <w:bCs/>
          <w:color w:val="auto"/>
          <w:sz w:val="28"/>
          <w:szCs w:val="28"/>
          <w:highlight w:val="none"/>
          <w:u w:val="single"/>
          <w:lang w:val="en-US" w:eastAsia="zh-CN"/>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rPr>
        <w:t>编号：</w:t>
      </w:r>
      <w:r>
        <w:rPr>
          <w:rFonts w:hint="eastAsia" w:asciiTheme="minorEastAsia" w:hAnsiTheme="minorEastAsia" w:eastAsiaTheme="minorEastAsia" w:cstheme="minorEastAsia"/>
          <w:b/>
          <w:bCs/>
          <w:color w:val="auto"/>
          <w:sz w:val="28"/>
          <w:szCs w:val="28"/>
          <w:highlight w:val="none"/>
          <w:u w:val="single"/>
        </w:rPr>
        <w:t>TGJA-JX-2025-0</w:t>
      </w:r>
      <w:r>
        <w:rPr>
          <w:rFonts w:hint="eastAsia" w:asciiTheme="minorEastAsia" w:hAnsiTheme="minorEastAsia" w:eastAsiaTheme="minorEastAsia" w:cstheme="minorEastAsia"/>
          <w:b/>
          <w:bCs/>
          <w:color w:val="auto"/>
          <w:sz w:val="28"/>
          <w:szCs w:val="28"/>
          <w:highlight w:val="none"/>
          <w:u w:val="single"/>
          <w:lang w:val="en-US" w:eastAsia="zh-CN"/>
        </w:rPr>
        <w:t>33</w:t>
      </w:r>
    </w:p>
    <w:p w14:paraId="32EE43C4">
      <w:pPr>
        <w:pStyle w:val="55"/>
        <w:rPr>
          <w:rFonts w:hint="eastAsia"/>
          <w:color w:val="auto"/>
          <w:sz w:val="28"/>
          <w:szCs w:val="28"/>
          <w:highlight w:val="none"/>
          <w:lang w:val="en-US" w:eastAsia="zh-CN"/>
        </w:rPr>
      </w:pPr>
    </w:p>
    <w:p w14:paraId="4934B582">
      <w:pP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lang w:eastAsia="zh-CN"/>
        </w:rPr>
        <w:t>单位</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u w:val="single"/>
        </w:rPr>
        <w:t>铜陵有色金属集团铜冠建筑安装股份有限公司</w:t>
      </w:r>
      <w:r>
        <w:rPr>
          <w:rFonts w:hint="eastAsia" w:asciiTheme="minorEastAsia" w:hAnsiTheme="minorEastAsia" w:eastAsiaTheme="minorEastAsia" w:cstheme="minorEastAsia"/>
          <w:b/>
          <w:bCs/>
          <w:color w:val="auto"/>
          <w:sz w:val="28"/>
          <w:szCs w:val="28"/>
          <w:highlight w:val="none"/>
        </w:rPr>
        <w:t>（盖章）</w:t>
      </w:r>
    </w:p>
    <w:p w14:paraId="158ADC50">
      <w:pPr>
        <w:pStyle w:val="55"/>
        <w:rPr>
          <w:color w:val="auto"/>
          <w:sz w:val="28"/>
          <w:szCs w:val="28"/>
          <w:highlight w:val="none"/>
        </w:rPr>
      </w:pPr>
    </w:p>
    <w:p w14:paraId="2F4F2016">
      <w:pPr>
        <w:rPr>
          <w:rFonts w:hint="eastAsia" w:asciiTheme="minorEastAsia" w:hAnsiTheme="minorEastAsia" w:eastAsiaTheme="minorEastAsia" w:cstheme="minorEastAsia"/>
          <w:b/>
          <w:bCs/>
          <w:color w:val="auto"/>
          <w:sz w:val="28"/>
          <w:szCs w:val="28"/>
          <w:highlight w:val="none"/>
          <w:u w:val="single"/>
        </w:rPr>
      </w:pPr>
      <w:r>
        <w:rPr>
          <w:rFonts w:hint="eastAsia" w:asciiTheme="minorEastAsia" w:hAnsiTheme="minorEastAsia" w:eastAsiaTheme="minorEastAsia" w:cstheme="minorEastAsia"/>
          <w:b/>
          <w:bCs/>
          <w:color w:val="auto"/>
          <w:sz w:val="28"/>
          <w:szCs w:val="28"/>
          <w:highlight w:val="none"/>
        </w:rPr>
        <w:t>联 系 人：</w:t>
      </w:r>
      <w:r>
        <w:rPr>
          <w:rFonts w:hint="eastAsia" w:asciiTheme="minorEastAsia" w:hAnsiTheme="minorEastAsia" w:eastAsiaTheme="minorEastAsia" w:cstheme="minorEastAsia"/>
          <w:b/>
          <w:bCs/>
          <w:color w:val="auto"/>
          <w:sz w:val="28"/>
          <w:szCs w:val="28"/>
          <w:highlight w:val="none"/>
          <w:u w:val="single"/>
          <w:lang w:val="en-US" w:eastAsia="zh-CN"/>
        </w:rPr>
        <w:t>陶叶玲</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13965204644</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陈晶</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18956266013</w:t>
      </w:r>
      <w:r>
        <w:rPr>
          <w:rFonts w:hint="eastAsia" w:asciiTheme="minorEastAsia" w:hAnsiTheme="minorEastAsia" w:eastAsiaTheme="minorEastAsia" w:cstheme="minorEastAsia"/>
          <w:b/>
          <w:bCs/>
          <w:color w:val="auto"/>
          <w:sz w:val="28"/>
          <w:szCs w:val="28"/>
          <w:highlight w:val="none"/>
          <w:u w:val="single"/>
        </w:rPr>
        <w:t>）</w:t>
      </w:r>
    </w:p>
    <w:p w14:paraId="133E430C">
      <w:pPr>
        <w:rPr>
          <w:rFonts w:hint="eastAsia" w:asciiTheme="minorEastAsia" w:hAnsiTheme="minorEastAsia" w:eastAsiaTheme="minorEastAsia" w:cstheme="minorEastAsia"/>
          <w:b/>
          <w:bCs/>
          <w:color w:val="auto"/>
          <w:sz w:val="28"/>
          <w:szCs w:val="28"/>
          <w:highlight w:val="none"/>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【声明】</w:t>
      </w:r>
    </w:p>
    <w:p w14:paraId="31CAD424">
      <w:pPr>
        <w:keepNext w:val="0"/>
        <w:keepLines w:val="0"/>
        <w:widowControl w:val="0"/>
        <w:suppressLineNumbers w:val="0"/>
        <w:shd w:val="clear"/>
        <w:spacing w:before="100" w:beforeAutospacing="1" w:after="100" w:afterAutospacing="1" w:line="360" w:lineRule="auto"/>
        <w:ind w:left="0" w:right="0" w:firstLine="430" w:firstLineChars="200"/>
        <w:jc w:val="both"/>
        <w:rPr>
          <w:rFonts w:hint="eastAsia" w:ascii="仿宋" w:hAnsi="仿宋" w:eastAsia="仿宋" w:cs="仿宋"/>
          <w:color w:val="auto"/>
          <w:highlight w:val="none"/>
          <w:shd w:val="clear" w:fill="FFFF00"/>
        </w:rPr>
      </w:pPr>
      <w:r>
        <w:rPr>
          <w:rFonts w:hint="eastAsia" w:ascii="仿宋" w:hAnsi="仿宋" w:eastAsia="仿宋" w:cs="仿宋"/>
          <w:color w:val="auto"/>
          <w:highlight w:val="none"/>
        </w:rPr>
        <w:t>根据公司2025年</w:t>
      </w:r>
      <w:r>
        <w:rPr>
          <w:rFonts w:hint="eastAsia" w:ascii="仿宋" w:hAnsi="仿宋" w:eastAsia="仿宋" w:cs="仿宋"/>
          <w:color w:val="auto"/>
          <w:highlight w:val="none"/>
          <w:lang w:val="en-US" w:eastAsia="zh-CN"/>
        </w:rPr>
        <w:t>0</w:t>
      </w: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月</w:t>
      </w:r>
      <w:r>
        <w:rPr>
          <w:rFonts w:hint="eastAsia" w:ascii="仿宋" w:hAnsi="仿宋" w:eastAsia="仿宋" w:cs="仿宋"/>
          <w:color w:val="auto"/>
          <w:highlight w:val="none"/>
        </w:rPr>
        <w:t>起实施的《铜冠建安公司采购管理办法》</w:t>
      </w:r>
      <w:r>
        <w:rPr>
          <w:rFonts w:hint="eastAsia" w:ascii="仿宋" w:hAnsi="仿宋" w:eastAsia="仿宋" w:cs="仿宋"/>
          <w:color w:val="auto"/>
          <w:highlight w:val="none"/>
          <w:lang w:val="en-US" w:eastAsia="zh-CN"/>
        </w:rPr>
        <w:t>等</w:t>
      </w:r>
      <w:r>
        <w:rPr>
          <w:rFonts w:hint="eastAsia" w:ascii="仿宋" w:hAnsi="仿宋" w:eastAsia="仿宋" w:cs="仿宋"/>
          <w:color w:val="auto"/>
          <w:highlight w:val="none"/>
        </w:rPr>
        <w:t>相关规定，</w:t>
      </w:r>
      <w:r>
        <w:rPr>
          <w:rFonts w:hint="eastAsia" w:ascii="仿宋" w:hAnsi="仿宋" w:eastAsia="仿宋" w:cs="仿宋"/>
          <w:color w:val="auto"/>
          <w:highlight w:val="none"/>
          <w:lang w:val="en-US" w:eastAsia="zh-CN"/>
        </w:rPr>
        <w:t>铜陵铜冠建安新型环保建材科技有限公司</w:t>
      </w:r>
      <w:r>
        <w:rPr>
          <w:rFonts w:hint="eastAsia" w:ascii="仿宋" w:hAnsi="仿宋" w:eastAsia="仿宋" w:cs="仿宋"/>
          <w:color w:val="auto"/>
          <w:highlight w:val="none"/>
        </w:rPr>
        <w:t>通过公司外网平台组织</w:t>
      </w:r>
      <w:r>
        <w:rPr>
          <w:rFonts w:hint="eastAsia" w:ascii="仿宋" w:hAnsi="仿宋" w:eastAsia="仿宋" w:cs="仿宋"/>
          <w:color w:val="auto"/>
          <w:highlight w:val="none"/>
          <w:lang w:eastAsia="zh-CN"/>
        </w:rPr>
        <w:t>铜陵有色金属集团铜冠建筑安装股份有限公司</w:t>
      </w:r>
      <w:r>
        <w:rPr>
          <w:rFonts w:hint="eastAsia" w:ascii="仿宋" w:hAnsi="仿宋" w:eastAsia="仿宋" w:cs="仿宋"/>
          <w:color w:val="auto"/>
          <w:highlight w:val="none"/>
          <w:lang w:val="en-US" w:eastAsia="zh-CN"/>
        </w:rPr>
        <w:t>2025年度矿山充填胶凝材料运输业务</w:t>
      </w:r>
      <w:r>
        <w:rPr>
          <w:rFonts w:hint="eastAsia" w:ascii="仿宋" w:hAnsi="仿宋" w:eastAsia="仿宋" w:cs="仿宋"/>
          <w:color w:val="auto"/>
          <w:highlight w:val="none"/>
          <w:shd w:val="clear"/>
        </w:rPr>
        <w:t>询比采购。 </w:t>
      </w:r>
    </w:p>
    <w:p w14:paraId="7B64F380">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b/>
          <w:color w:val="auto"/>
          <w:sz w:val="24"/>
          <w:szCs w:val="24"/>
          <w:highlight w:val="none"/>
        </w:rPr>
      </w:pPr>
      <w:r>
        <w:rPr>
          <w:rFonts w:hint="eastAsia" w:ascii="仿宋" w:hAnsi="仿宋" w:eastAsia="仿宋" w:cs="仿宋"/>
          <w:color w:val="auto"/>
          <w:highlight w:val="none"/>
          <w:lang w:val="en-US" w:eastAsia="zh-CN"/>
        </w:rPr>
        <w:t>本次</w:t>
      </w:r>
      <w:r>
        <w:rPr>
          <w:rFonts w:hint="eastAsia" w:ascii="仿宋" w:hAnsi="仿宋" w:eastAsia="仿宋" w:cs="仿宋"/>
          <w:color w:val="auto"/>
          <w:highlight w:val="none"/>
        </w:rPr>
        <w:t xml:space="preserve">询比采购采取不见面评审。 </w:t>
      </w:r>
    </w:p>
    <w:p w14:paraId="2F2EF435">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w:t>
      </w:r>
      <w:r>
        <w:rPr>
          <w:rFonts w:hint="eastAsia" w:ascii="仿宋" w:hAnsi="仿宋" w:eastAsia="仿宋" w:cs="仿宋"/>
          <w:b/>
          <w:bCs/>
          <w:color w:val="auto"/>
          <w:sz w:val="24"/>
          <w:szCs w:val="24"/>
          <w:highlight w:val="none"/>
          <w:lang w:eastAsia="zh-CN"/>
        </w:rPr>
        <w:t>询比采购</w:t>
      </w:r>
      <w:r>
        <w:rPr>
          <w:rFonts w:hint="eastAsia" w:ascii="仿宋" w:hAnsi="仿宋" w:eastAsia="仿宋" w:cs="仿宋"/>
          <w:b/>
          <w:bCs/>
          <w:color w:val="auto"/>
          <w:sz w:val="24"/>
          <w:szCs w:val="24"/>
          <w:highlight w:val="none"/>
        </w:rPr>
        <w:t>日程安排</w:t>
      </w:r>
    </w:p>
    <w:p w14:paraId="03F62963">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b/>
          <w:color w:val="auto"/>
          <w:sz w:val="24"/>
          <w:szCs w:val="24"/>
          <w:highlight w:val="none"/>
        </w:rPr>
      </w:pPr>
    </w:p>
    <w:p w14:paraId="147D4B20">
      <w:pPr>
        <w:numPr>
          <w:ilvl w:val="0"/>
          <w:numId w:val="0"/>
        </w:numPr>
        <w:spacing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递交地点：铜陵有色金属集团铜冠建筑安装股份有限公司</w:t>
      </w:r>
      <w:r>
        <w:rPr>
          <w:rFonts w:hint="eastAsia" w:ascii="仿宋" w:hAnsi="仿宋" w:eastAsia="仿宋" w:cs="仿宋"/>
          <w:color w:val="auto"/>
          <w:sz w:val="24"/>
          <w:szCs w:val="24"/>
          <w:highlight w:val="none"/>
          <w:lang w:eastAsia="zh-CN"/>
        </w:rPr>
        <w:t>四楼</w:t>
      </w:r>
      <w:r>
        <w:rPr>
          <w:rFonts w:hint="eastAsia" w:ascii="仿宋" w:hAnsi="仿宋" w:eastAsia="仿宋" w:cs="仿宋"/>
          <w:color w:val="auto"/>
          <w:sz w:val="24"/>
          <w:szCs w:val="24"/>
          <w:highlight w:val="none"/>
        </w:rPr>
        <w:t>经营部（</w:t>
      </w:r>
      <w:r>
        <w:rPr>
          <w:rFonts w:hint="eastAsia" w:ascii="仿宋" w:hAnsi="仿宋" w:eastAsia="仿宋" w:cs="仿宋"/>
          <w:color w:val="auto"/>
          <w:sz w:val="24"/>
          <w:szCs w:val="24"/>
          <w:highlight w:val="none"/>
          <w:u w:val="single"/>
        </w:rPr>
        <w:t>安徽省铜陵市黄山大道南段879号</w:t>
      </w:r>
      <w:r>
        <w:rPr>
          <w:rFonts w:hint="eastAsia" w:ascii="仿宋" w:hAnsi="仿宋" w:eastAsia="仿宋" w:cs="仿宋"/>
          <w:color w:val="auto"/>
          <w:sz w:val="24"/>
          <w:szCs w:val="24"/>
          <w:highlight w:val="none"/>
        </w:rPr>
        <w:t>）</w:t>
      </w:r>
    </w:p>
    <w:p w14:paraId="181C7DD5">
      <w:pPr>
        <w:spacing w:line="360" w:lineRule="auto"/>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文件收件人：</w:t>
      </w:r>
      <w:r>
        <w:rPr>
          <w:rFonts w:hint="eastAsia" w:ascii="仿宋" w:hAnsi="仿宋" w:eastAsia="仿宋" w:cs="仿宋"/>
          <w:color w:val="auto"/>
          <w:sz w:val="24"/>
          <w:szCs w:val="24"/>
          <w:highlight w:val="none"/>
          <w:u w:val="single"/>
        </w:rPr>
        <w:t>黄赟（18656211500）</w:t>
      </w:r>
    </w:p>
    <w:p w14:paraId="01F0F1B2">
      <w:pPr>
        <w:spacing w:line="360" w:lineRule="auto"/>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时间：</w:t>
      </w:r>
      <w:r>
        <w:rPr>
          <w:rFonts w:hint="eastAsia" w:ascii="仿宋" w:hAnsi="仿宋" w:eastAsia="仿宋" w:cs="仿宋"/>
          <w:color w:val="auto"/>
          <w:sz w:val="24"/>
          <w:szCs w:val="24"/>
          <w:highlight w:val="none"/>
          <w:u w:val="single"/>
        </w:rPr>
        <w:t>202</w:t>
      </w:r>
      <w:r>
        <w:rPr>
          <w:rFonts w:hint="eastAsia" w:ascii="仿宋" w:hAnsi="仿宋" w:eastAsia="仿宋" w:cs="仿宋"/>
          <w:color w:val="auto"/>
          <w:sz w:val="24"/>
          <w:szCs w:val="24"/>
          <w:highlight w:val="none"/>
          <w:u w:val="single"/>
          <w:lang w:val="en-US" w:eastAsia="zh-CN"/>
        </w:rPr>
        <w:t>5</w:t>
      </w:r>
      <w:r>
        <w:rPr>
          <w:rFonts w:hint="eastAsia" w:ascii="仿宋" w:hAnsi="仿宋" w:eastAsia="仿宋" w:cs="仿宋"/>
          <w:color w:val="auto"/>
          <w:sz w:val="24"/>
          <w:szCs w:val="24"/>
          <w:highlight w:val="none"/>
          <w:u w:val="single"/>
        </w:rPr>
        <w:t>年</w:t>
      </w:r>
      <w:r>
        <w:rPr>
          <w:rFonts w:hint="eastAsia" w:ascii="仿宋" w:hAnsi="仿宋" w:eastAsia="仿宋" w:cs="仿宋"/>
          <w:color w:val="auto"/>
          <w:sz w:val="24"/>
          <w:szCs w:val="24"/>
          <w:highlight w:val="none"/>
          <w:u w:val="single"/>
          <w:lang w:val="en-US" w:eastAsia="zh-CN"/>
        </w:rPr>
        <w:t>05</w:t>
      </w:r>
      <w:r>
        <w:rPr>
          <w:rFonts w:hint="eastAsia" w:ascii="仿宋" w:hAnsi="仿宋" w:eastAsia="仿宋" w:cs="仿宋"/>
          <w:color w:val="auto"/>
          <w:sz w:val="24"/>
          <w:szCs w:val="24"/>
          <w:highlight w:val="none"/>
          <w:u w:val="single"/>
        </w:rPr>
        <w:t>月</w:t>
      </w:r>
      <w:r>
        <w:rPr>
          <w:rFonts w:hint="eastAsia" w:ascii="仿宋" w:hAnsi="仿宋" w:eastAsia="仿宋" w:cs="仿宋"/>
          <w:color w:val="auto"/>
          <w:sz w:val="24"/>
          <w:szCs w:val="24"/>
          <w:highlight w:val="none"/>
          <w:u w:val="single"/>
          <w:lang w:val="en-US" w:eastAsia="zh-CN"/>
        </w:rPr>
        <w:t>22</w:t>
      </w:r>
      <w:r>
        <w:rPr>
          <w:rFonts w:hint="eastAsia" w:ascii="仿宋" w:hAnsi="仿宋" w:eastAsia="仿宋" w:cs="仿宋"/>
          <w:color w:val="auto"/>
          <w:sz w:val="24"/>
          <w:szCs w:val="24"/>
          <w:highlight w:val="none"/>
          <w:u w:val="single"/>
        </w:rPr>
        <w:t>日</w:t>
      </w:r>
    </w:p>
    <w:p w14:paraId="4AA0FD0B">
      <w:pPr>
        <w:spacing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通知书时间：另行通知</w:t>
      </w:r>
    </w:p>
    <w:p w14:paraId="28F05505">
      <w:pPr>
        <w:spacing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、签订合同时间：另行通知</w:t>
      </w:r>
    </w:p>
    <w:p w14:paraId="2277A6B5">
      <w:pPr>
        <w:spacing w:line="360" w:lineRule="auto"/>
        <w:jc w:val="center"/>
        <w:rPr>
          <w:rFonts w:hint="eastAsia" w:ascii="仿宋" w:hAnsi="仿宋" w:eastAsia="仿宋" w:cs="仿宋"/>
          <w:b/>
          <w:color w:val="auto"/>
          <w:sz w:val="24"/>
          <w:szCs w:val="24"/>
          <w:highlight w:val="none"/>
        </w:rPr>
      </w:pPr>
    </w:p>
    <w:p w14:paraId="4D7F403E">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w:t>
      </w:r>
      <w:r>
        <w:rPr>
          <w:rFonts w:hint="eastAsia" w:ascii="仿宋" w:hAnsi="仿宋" w:eastAsia="仿宋" w:cs="仿宋"/>
          <w:b/>
          <w:color w:val="auto"/>
          <w:sz w:val="24"/>
          <w:szCs w:val="24"/>
          <w:highlight w:val="none"/>
          <w:lang w:eastAsia="zh-CN"/>
        </w:rPr>
        <w:t>询比采购</w:t>
      </w:r>
      <w:r>
        <w:rPr>
          <w:rFonts w:hint="eastAsia" w:ascii="仿宋" w:hAnsi="仿宋" w:eastAsia="仿宋" w:cs="仿宋"/>
          <w:b/>
          <w:color w:val="auto"/>
          <w:sz w:val="24"/>
          <w:szCs w:val="24"/>
          <w:highlight w:val="none"/>
        </w:rPr>
        <w:t>内容</w:t>
      </w:r>
    </w:p>
    <w:p w14:paraId="5934AD9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b/>
          <w:color w:val="auto"/>
          <w:sz w:val="24"/>
          <w:szCs w:val="24"/>
          <w:highlight w:val="none"/>
        </w:rPr>
      </w:pPr>
    </w:p>
    <w:p w14:paraId="7359411E">
      <w:pPr>
        <w:pStyle w:val="55"/>
        <w:ind w:left="0" w:leftChars="0" w:firstLine="49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val="en-US" w:eastAsia="zh-CN"/>
        </w:rPr>
        <w:t>询比采购</w:t>
      </w:r>
      <w:r>
        <w:rPr>
          <w:rFonts w:hint="eastAsia" w:ascii="仿宋" w:hAnsi="仿宋" w:eastAsia="仿宋" w:cs="仿宋"/>
          <w:color w:val="auto"/>
          <w:sz w:val="24"/>
          <w:szCs w:val="24"/>
          <w:highlight w:val="none"/>
          <w:u w:val="single"/>
        </w:rPr>
        <w:t>的具体内容如下：</w:t>
      </w:r>
      <w:r>
        <w:rPr>
          <w:rFonts w:hint="eastAsia" w:ascii="仿宋" w:hAnsi="仿宋" w:eastAsia="仿宋" w:cs="仿宋"/>
          <w:color w:val="auto"/>
          <w:highlight w:val="none"/>
          <w:u w:val="single"/>
          <w:lang w:eastAsia="zh-CN"/>
        </w:rPr>
        <w:t>铜陵有色金属集团铜冠建筑安装股份有限公司</w:t>
      </w:r>
      <w:r>
        <w:rPr>
          <w:rFonts w:hint="eastAsia" w:ascii="仿宋" w:hAnsi="仿宋" w:eastAsia="仿宋" w:cs="仿宋"/>
          <w:color w:val="auto"/>
          <w:highlight w:val="none"/>
          <w:u w:val="single"/>
          <w:lang w:val="en-US" w:eastAsia="zh-CN"/>
        </w:rPr>
        <w:t>2025年度矿山充填胶凝材料运输业务</w:t>
      </w:r>
      <w:r>
        <w:rPr>
          <w:rFonts w:hint="eastAsia" w:ascii="仿宋" w:hAnsi="仿宋" w:eastAsia="仿宋" w:cs="仿宋"/>
          <w:color w:val="auto"/>
          <w:highlight w:val="none"/>
          <w:u w:val="single"/>
          <w:shd w:val="clear"/>
        </w:rPr>
        <w:t>询</w:t>
      </w:r>
      <w:r>
        <w:rPr>
          <w:rFonts w:hint="eastAsia" w:ascii="仿宋" w:hAnsi="仿宋" w:eastAsia="仿宋" w:cs="仿宋"/>
          <w:color w:val="auto"/>
          <w:highlight w:val="none"/>
          <w:u w:val="single"/>
          <w:shd w:val="clear"/>
          <w:lang w:val="en-US" w:eastAsia="zh-CN"/>
        </w:rPr>
        <w:t>比</w:t>
      </w:r>
      <w:r>
        <w:rPr>
          <w:rFonts w:hint="eastAsia" w:ascii="仿宋" w:hAnsi="仿宋" w:eastAsia="仿宋" w:cs="仿宋"/>
          <w:color w:val="auto"/>
          <w:sz w:val="24"/>
          <w:szCs w:val="24"/>
          <w:highlight w:val="none"/>
          <w:u w:val="single"/>
          <w:shd w:val="clear"/>
          <w:lang w:val="en-US" w:eastAsia="zh-CN"/>
        </w:rPr>
        <w:t>采购</w:t>
      </w:r>
      <w:r>
        <w:rPr>
          <w:rFonts w:hint="eastAsia" w:ascii="仿宋" w:hAnsi="仿宋" w:eastAsia="仿宋" w:cs="仿宋"/>
          <w:color w:val="auto"/>
          <w:sz w:val="24"/>
          <w:szCs w:val="24"/>
          <w:highlight w:val="none"/>
          <w:u w:val="single"/>
          <w:lang w:val="en-US" w:eastAsia="zh-CN"/>
        </w:rPr>
        <w:t>的相关事宜（详见报价表）。</w:t>
      </w:r>
    </w:p>
    <w:p w14:paraId="385B0A4C">
      <w:pPr>
        <w:spacing w:line="360" w:lineRule="auto"/>
        <w:ind w:firstLine="490" w:firstLineChars="200"/>
        <w:jc w:val="left"/>
        <w:rPr>
          <w:rFonts w:hint="eastAsia" w:ascii="仿宋" w:hAnsi="仿宋" w:eastAsia="仿宋" w:cs="仿宋"/>
          <w:color w:val="auto"/>
          <w:sz w:val="24"/>
          <w:szCs w:val="24"/>
          <w:highlight w:val="none"/>
        </w:rPr>
      </w:pPr>
    </w:p>
    <w:p w14:paraId="5147E9AE">
      <w:pPr>
        <w:spacing w:line="360" w:lineRule="auto"/>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说明：</w:t>
      </w:r>
    </w:p>
    <w:p w14:paraId="1E428B6E">
      <w:pPr>
        <w:spacing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该次</w:t>
      </w:r>
      <w:r>
        <w:rPr>
          <w:rFonts w:hint="eastAsia" w:ascii="仿宋" w:hAnsi="仿宋" w:eastAsia="仿宋" w:cs="仿宋"/>
          <w:color w:val="auto"/>
          <w:sz w:val="24"/>
          <w:szCs w:val="24"/>
          <w:highlight w:val="none"/>
          <w:u w:val="single"/>
          <w:lang w:val="en-US" w:eastAsia="zh-CN"/>
        </w:rPr>
        <w:t>询比采购运输量</w:t>
      </w:r>
      <w:r>
        <w:rPr>
          <w:rFonts w:hint="eastAsia" w:ascii="仿宋" w:hAnsi="仿宋" w:eastAsia="仿宋" w:cs="仿宋"/>
          <w:color w:val="auto"/>
          <w:sz w:val="24"/>
          <w:szCs w:val="24"/>
          <w:highlight w:val="none"/>
        </w:rPr>
        <w:t>为</w:t>
      </w:r>
      <w:r>
        <w:rPr>
          <w:rFonts w:hint="eastAsia" w:ascii="仿宋" w:hAnsi="仿宋" w:eastAsia="仿宋" w:cs="仿宋"/>
          <w:color w:val="auto"/>
          <w:sz w:val="24"/>
          <w:szCs w:val="24"/>
          <w:highlight w:val="none"/>
          <w:lang w:val="en-US" w:eastAsia="zh-CN"/>
        </w:rPr>
        <w:t>招标单位</w:t>
      </w:r>
      <w:r>
        <w:rPr>
          <w:rFonts w:hint="eastAsia" w:ascii="仿宋" w:hAnsi="仿宋" w:eastAsia="仿宋" w:cs="仿宋"/>
          <w:color w:val="auto"/>
          <w:sz w:val="24"/>
          <w:szCs w:val="24"/>
          <w:highlight w:val="none"/>
        </w:rPr>
        <w:t>在现有条件下</w:t>
      </w:r>
      <w:r>
        <w:rPr>
          <w:rFonts w:hint="eastAsia" w:ascii="仿宋" w:hAnsi="仿宋" w:eastAsia="仿宋" w:cs="仿宋"/>
          <w:color w:val="auto"/>
          <w:sz w:val="24"/>
          <w:szCs w:val="24"/>
          <w:highlight w:val="none"/>
          <w:lang w:val="en-US" w:eastAsia="zh-CN"/>
        </w:rPr>
        <w:t>预估</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量，此</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仅作为</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和签订合同</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的依据，不作为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人最终</w:t>
      </w:r>
      <w:r>
        <w:rPr>
          <w:rFonts w:hint="eastAsia" w:ascii="仿宋" w:hAnsi="仿宋" w:eastAsia="仿宋" w:cs="仿宋"/>
          <w:color w:val="auto"/>
          <w:sz w:val="24"/>
          <w:szCs w:val="24"/>
          <w:highlight w:val="none"/>
          <w:lang w:val="en-US" w:eastAsia="zh-CN"/>
        </w:rPr>
        <w:t>胶凝材料运输总量</w:t>
      </w:r>
      <w:r>
        <w:rPr>
          <w:rFonts w:hint="eastAsia" w:ascii="仿宋" w:hAnsi="仿宋" w:eastAsia="仿宋" w:cs="仿宋"/>
          <w:color w:val="auto"/>
          <w:sz w:val="24"/>
          <w:szCs w:val="24"/>
          <w:highlight w:val="none"/>
        </w:rPr>
        <w:t>的依据，最终</w:t>
      </w:r>
      <w:r>
        <w:rPr>
          <w:rFonts w:hint="eastAsia" w:ascii="仿宋" w:hAnsi="仿宋" w:eastAsia="仿宋" w:cs="仿宋"/>
          <w:color w:val="auto"/>
          <w:sz w:val="24"/>
          <w:szCs w:val="24"/>
          <w:highlight w:val="none"/>
          <w:lang w:val="en-US" w:eastAsia="zh-CN"/>
        </w:rPr>
        <w:t>胶凝材料运输量</w:t>
      </w:r>
      <w:r>
        <w:rPr>
          <w:rFonts w:hint="eastAsia" w:ascii="仿宋" w:hAnsi="仿宋" w:eastAsia="仿宋" w:cs="仿宋"/>
          <w:color w:val="auto"/>
          <w:sz w:val="24"/>
          <w:szCs w:val="24"/>
          <w:highlight w:val="none"/>
        </w:rPr>
        <w:t>的增减丝毫不影响</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u w:val="none"/>
        </w:rPr>
        <w:t>报</w:t>
      </w:r>
      <w:r>
        <w:rPr>
          <w:rFonts w:hint="eastAsia" w:ascii="仿宋" w:hAnsi="仿宋" w:eastAsia="仿宋" w:cs="仿宋"/>
          <w:color w:val="auto"/>
          <w:sz w:val="24"/>
          <w:szCs w:val="24"/>
          <w:highlight w:val="none"/>
        </w:rPr>
        <w:t>价的效力。</w:t>
      </w:r>
    </w:p>
    <w:p w14:paraId="09E416D3">
      <w:pPr>
        <w:pStyle w:val="55"/>
        <w:ind w:left="0" w:leftChars="0" w:firstLine="0" w:firstLineChars="0"/>
        <w:rPr>
          <w:rFonts w:hint="eastAsia"/>
          <w:color w:val="auto"/>
          <w:highlight w:val="none"/>
          <w:lang w:eastAsia="zh-CN"/>
        </w:rPr>
      </w:pPr>
    </w:p>
    <w:p w14:paraId="6DADDF1B">
      <w:pPr>
        <w:pStyle w:val="154"/>
        <w:keepNext w:val="0"/>
        <w:keepLines w:val="0"/>
        <w:pageBreakBefore w:val="0"/>
        <w:numPr>
          <w:ilvl w:val="0"/>
          <w:numId w:val="3"/>
        </w:numPr>
        <w:kinsoku/>
        <w:wordWrap/>
        <w:overflowPunct/>
        <w:topLinePunct w:val="0"/>
        <w:autoSpaceDE/>
        <w:autoSpaceDN/>
        <w:bidi w:val="0"/>
        <w:adjustRightInd/>
        <w:snapToGrid/>
        <w:spacing w:line="480" w:lineRule="exact"/>
        <w:ind w:firstLine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承运单位</w:t>
      </w:r>
      <w:r>
        <w:rPr>
          <w:rFonts w:hint="eastAsia" w:ascii="仿宋" w:hAnsi="仿宋" w:eastAsia="仿宋" w:cs="仿宋"/>
          <w:b/>
          <w:color w:val="auto"/>
          <w:sz w:val="24"/>
          <w:szCs w:val="24"/>
          <w:highlight w:val="none"/>
        </w:rPr>
        <w:t>资格要求</w:t>
      </w:r>
    </w:p>
    <w:p w14:paraId="10433254">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1、在中华人民共和国境内依法经国家工商、税务机关登记注册。</w:t>
      </w:r>
    </w:p>
    <w:p w14:paraId="3F7FF38E">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须为一般纳税人或小规模纳税人。</w:t>
      </w:r>
    </w:p>
    <w:p w14:paraId="4D89F0DE">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提供的相关资质证件均须在年审有效期内。</w:t>
      </w:r>
    </w:p>
    <w:p w14:paraId="51B10B50">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近三年无重大失信和违法、违纪行为等不良记录。</w:t>
      </w:r>
    </w:p>
    <w:p w14:paraId="3C4BEAAC">
      <w:pPr>
        <w:keepNext w:val="0"/>
        <w:keepLines w:val="0"/>
        <w:pageBreakBefore w:val="0"/>
        <w:kinsoku/>
        <w:wordWrap/>
        <w:overflowPunct/>
        <w:topLinePunct w:val="0"/>
        <w:autoSpaceDE/>
        <w:autoSpaceDN/>
        <w:bidi w:val="0"/>
        <w:adjustRightInd/>
        <w:snapToGrid/>
        <w:spacing w:line="520" w:lineRule="exact"/>
        <w:ind w:firstLine="245" w:firstLineChars="1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5、承</w:t>
      </w:r>
      <w:bookmarkStart w:id="4" w:name="_GoBack"/>
      <w:bookmarkEnd w:id="4"/>
      <w:r>
        <w:rPr>
          <w:rFonts w:hint="eastAsia" w:ascii="仿宋" w:hAnsi="仿宋" w:eastAsia="仿宋" w:cs="仿宋"/>
          <w:color w:val="auto"/>
          <w:sz w:val="24"/>
          <w:szCs w:val="24"/>
          <w:highlight w:val="none"/>
          <w:lang w:val="en-US" w:eastAsia="zh-CN"/>
        </w:rPr>
        <w:t>运商应具有较强的资金保障能力，注册资本金不低于50万元。</w:t>
      </w:r>
    </w:p>
    <w:p w14:paraId="3A15AF9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参运车辆要求：（1）中标范围内所发生的承运车辆必须为竞价人自有产权车辆（产权车辆不得低于5辆，提供产权车辆清单表），能够满足委托人生产经营需要和要求，提供的车辆必须技术性能良好，符合业主货物运输要求，车辆相关运输证件合法、齐全、有效，车辆交强险、第三者责任险等承保保险险种齐全、有效；运输公司必须为从业人员购买意外伤害保险。（2）车辆类别需为罐式粉状物料运输车，额定载重量不低于30吨；（3）车辆需具备自行泵送物料的功能；（4）车辆必须具备道路运输资格，证件、保险手续齐全；（5）驾驶员必须持证上岗，无重大运输违法记录。</w:t>
      </w:r>
    </w:p>
    <w:p w14:paraId="23BEACB2">
      <w:pPr>
        <w:pStyle w:val="55"/>
        <w:keepNext w:val="0"/>
        <w:keepLines w:val="0"/>
        <w:pageBreakBefore w:val="0"/>
        <w:kinsoku/>
        <w:wordWrap/>
        <w:overflowPunct/>
        <w:topLinePunct w:val="0"/>
        <w:autoSpaceDE/>
        <w:autoSpaceDN/>
        <w:bidi w:val="0"/>
        <w:adjustRightInd/>
        <w:snapToGrid/>
        <w:spacing w:line="520" w:lineRule="exact"/>
        <w:ind w:left="0" w:leftChars="0" w:firstLine="0" w:firstLineChars="0"/>
        <w:rPr>
          <w:rFonts w:hint="eastAsia" w:ascii="仿宋" w:hAnsi="仿宋" w:eastAsia="仿宋" w:cs="仿宋"/>
          <w:color w:val="auto"/>
          <w:sz w:val="24"/>
          <w:szCs w:val="24"/>
          <w:highlight w:val="none"/>
        </w:rPr>
      </w:pPr>
    </w:p>
    <w:p w14:paraId="39791A83">
      <w:pPr>
        <w:keepNext w:val="0"/>
        <w:keepLines w:val="0"/>
        <w:pageBreakBefore w:val="0"/>
        <w:kinsoku/>
        <w:wordWrap/>
        <w:overflowPunct/>
        <w:topLinePunct w:val="0"/>
        <w:autoSpaceDE/>
        <w:autoSpaceDN/>
        <w:bidi w:val="0"/>
        <w:adjustRightInd/>
        <w:snapToGrid/>
        <w:spacing w:line="52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w:t>
      </w: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公告</w:t>
      </w:r>
      <w:r>
        <w:rPr>
          <w:rFonts w:hint="eastAsia" w:ascii="仿宋" w:hAnsi="仿宋" w:eastAsia="仿宋" w:cs="仿宋"/>
          <w:b/>
          <w:color w:val="auto"/>
          <w:sz w:val="24"/>
          <w:szCs w:val="24"/>
          <w:highlight w:val="none"/>
        </w:rPr>
        <w:t>发布的媒介及</w:t>
      </w: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color w:val="auto"/>
          <w:sz w:val="24"/>
          <w:szCs w:val="24"/>
          <w:highlight w:val="none"/>
        </w:rPr>
        <w:t>公告的获取</w:t>
      </w:r>
    </w:p>
    <w:p w14:paraId="08AD2B6D">
      <w:pPr>
        <w:keepNext w:val="0"/>
        <w:keepLines w:val="0"/>
        <w:pageBreakBefore w:val="0"/>
        <w:kinsoku/>
        <w:wordWrap/>
        <w:overflowPunct/>
        <w:topLinePunct w:val="0"/>
        <w:autoSpaceDE/>
        <w:autoSpaceDN/>
        <w:bidi w:val="0"/>
        <w:adjustRightInd/>
        <w:snapToGrid/>
        <w:spacing w:line="520" w:lineRule="exact"/>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公告（包括后期如有对</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文件所作的澄清、修改等。）将在铜冠建筑安装股份有限公司网（http://www.tltgja.com.cn/）在线</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--物资</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上发布。</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公告请</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自行下载。</w:t>
      </w:r>
    </w:p>
    <w:p w14:paraId="2CFE7808">
      <w:pPr>
        <w:keepNext w:val="0"/>
        <w:keepLines w:val="0"/>
        <w:pageBreakBefore w:val="0"/>
        <w:kinsoku/>
        <w:wordWrap/>
        <w:overflowPunct/>
        <w:topLinePunct w:val="0"/>
        <w:autoSpaceDE/>
        <w:autoSpaceDN/>
        <w:bidi w:val="0"/>
        <w:adjustRightInd/>
        <w:snapToGrid/>
        <w:spacing w:line="52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所有</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信息均以以上网站发布为准，其它任何形式的内容不作为</w:t>
      </w:r>
      <w:r>
        <w:rPr>
          <w:rFonts w:hint="eastAsia" w:ascii="仿宋" w:hAnsi="仿宋" w:eastAsia="仿宋" w:cs="仿宋"/>
          <w:color w:val="auto"/>
          <w:sz w:val="24"/>
          <w:szCs w:val="24"/>
          <w:highlight w:val="none"/>
          <w:lang w:val="en-US" w:eastAsia="zh-CN"/>
        </w:rPr>
        <w:t>采购公告</w:t>
      </w:r>
      <w:r>
        <w:rPr>
          <w:rFonts w:hint="eastAsia" w:ascii="仿宋" w:hAnsi="仿宋" w:eastAsia="仿宋" w:cs="仿宋"/>
          <w:color w:val="auto"/>
          <w:sz w:val="24"/>
          <w:szCs w:val="24"/>
          <w:highlight w:val="none"/>
        </w:rPr>
        <w:t>以及</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的依据。</w:t>
      </w:r>
    </w:p>
    <w:p w14:paraId="637DBCED">
      <w:pPr>
        <w:keepNext w:val="0"/>
        <w:keepLines w:val="0"/>
        <w:pageBreakBefore w:val="0"/>
        <w:kinsoku/>
        <w:wordWrap/>
        <w:overflowPunct/>
        <w:topLinePunct w:val="0"/>
        <w:autoSpaceDE/>
        <w:autoSpaceDN/>
        <w:bidi w:val="0"/>
        <w:adjustRightInd/>
        <w:snapToGrid/>
        <w:spacing w:line="520" w:lineRule="exact"/>
        <w:ind w:firstLine="490" w:firstLineChars="200"/>
        <w:rPr>
          <w:rFonts w:hint="eastAsia" w:ascii="仿宋" w:hAnsi="仿宋" w:eastAsia="仿宋" w:cs="仿宋"/>
          <w:color w:val="auto"/>
          <w:sz w:val="24"/>
          <w:szCs w:val="24"/>
          <w:highlight w:val="none"/>
        </w:rPr>
      </w:pPr>
    </w:p>
    <w:p w14:paraId="172CC1AB">
      <w:pPr>
        <w:keepNext w:val="0"/>
        <w:keepLines w:val="0"/>
        <w:pageBreakBefore w:val="0"/>
        <w:kinsoku/>
        <w:wordWrap/>
        <w:overflowPunct/>
        <w:topLinePunct w:val="0"/>
        <w:autoSpaceDE/>
        <w:autoSpaceDN/>
        <w:bidi w:val="0"/>
        <w:adjustRightInd/>
        <w:snapToGrid/>
        <w:spacing w:line="52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五、</w:t>
      </w: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报名</w:t>
      </w:r>
    </w:p>
    <w:p w14:paraId="064FEA57">
      <w:pPr>
        <w:keepNext w:val="0"/>
        <w:keepLines w:val="0"/>
        <w:pageBreakBefore w:val="0"/>
        <w:kinsoku/>
        <w:wordWrap/>
        <w:overflowPunct/>
        <w:topLinePunct w:val="0"/>
        <w:autoSpaceDE/>
        <w:autoSpaceDN/>
        <w:bidi w:val="0"/>
        <w:adjustRightInd/>
        <w:snapToGrid/>
        <w:spacing w:line="52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1、各</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需在</w:t>
      </w:r>
      <w:r>
        <w:rPr>
          <w:rFonts w:hint="eastAsia" w:ascii="仿宋" w:hAnsi="仿宋" w:eastAsia="仿宋" w:cs="仿宋"/>
          <w:color w:val="auto"/>
          <w:sz w:val="24"/>
          <w:szCs w:val="24"/>
          <w:highlight w:val="none"/>
          <w:u w:val="none"/>
          <w:lang w:val="en-US" w:eastAsia="zh-CN"/>
        </w:rPr>
        <w:t>采购公告发布截止日</w:t>
      </w:r>
      <w:r>
        <w:rPr>
          <w:rFonts w:hint="eastAsia" w:ascii="仿宋" w:hAnsi="仿宋" w:eastAsia="仿宋" w:cs="仿宋"/>
          <w:color w:val="auto"/>
          <w:sz w:val="24"/>
          <w:szCs w:val="24"/>
          <w:highlight w:val="none"/>
        </w:rPr>
        <w:t>前至</w:t>
      </w:r>
      <w:r>
        <w:rPr>
          <w:rFonts w:hint="eastAsia" w:ascii="仿宋" w:hAnsi="仿宋" w:eastAsia="仿宋" w:cs="仿宋"/>
          <w:color w:val="auto"/>
          <w:sz w:val="24"/>
          <w:szCs w:val="24"/>
          <w:highlight w:val="none"/>
          <w:u w:val="single"/>
        </w:rPr>
        <w:t>铜冠建筑安装股份有限公司四楼</w:t>
      </w:r>
      <w:r>
        <w:rPr>
          <w:rFonts w:hint="eastAsia" w:ascii="仿宋" w:hAnsi="仿宋" w:eastAsia="仿宋" w:cs="仿宋"/>
          <w:color w:val="auto"/>
          <w:sz w:val="24"/>
          <w:szCs w:val="24"/>
          <w:highlight w:val="none"/>
          <w:u w:val="single"/>
          <w:lang w:val="en-US" w:eastAsia="zh-CN"/>
        </w:rPr>
        <w:t>工程部</w:t>
      </w:r>
      <w:r>
        <w:rPr>
          <w:rFonts w:hint="eastAsia" w:ascii="仿宋" w:hAnsi="仿宋" w:eastAsia="仿宋" w:cs="仿宋"/>
          <w:color w:val="auto"/>
          <w:sz w:val="24"/>
          <w:szCs w:val="24"/>
          <w:highlight w:val="none"/>
          <w:u w:val="single"/>
        </w:rPr>
        <w:t>报名。</w:t>
      </w:r>
    </w:p>
    <w:p w14:paraId="46F23DC1">
      <w:pPr>
        <w:keepNext w:val="0"/>
        <w:keepLines w:val="0"/>
        <w:pageBreakBefore w:val="0"/>
        <w:kinsoku/>
        <w:wordWrap/>
        <w:overflowPunct/>
        <w:topLinePunct w:val="0"/>
        <w:autoSpaceDE/>
        <w:autoSpaceDN/>
        <w:bidi w:val="0"/>
        <w:adjustRightInd/>
        <w:snapToGrid/>
        <w:spacing w:line="52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2、报名时</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需提供报名资料。</w:t>
      </w:r>
      <w:r>
        <w:rPr>
          <w:rFonts w:hint="eastAsia" w:ascii="仿宋" w:hAnsi="仿宋" w:eastAsia="仿宋" w:cs="仿宋"/>
          <w:color w:val="auto"/>
          <w:sz w:val="24"/>
          <w:szCs w:val="24"/>
          <w:highlight w:val="none"/>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公章（原章）。</w:t>
      </w:r>
    </w:p>
    <w:p w14:paraId="1015835A">
      <w:pPr>
        <w:keepNext w:val="0"/>
        <w:keepLines w:val="0"/>
        <w:pageBreakBefore w:val="0"/>
        <w:kinsoku/>
        <w:wordWrap/>
        <w:overflowPunct/>
        <w:topLinePunct w:val="0"/>
        <w:autoSpaceDE/>
        <w:autoSpaceDN/>
        <w:bidi w:val="0"/>
        <w:adjustRightInd/>
        <w:snapToGrid/>
        <w:spacing w:line="520" w:lineRule="exact"/>
        <w:ind w:firstLine="49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3、报名自采购公告发布之日起至2025年05月21日12:00止。</w:t>
      </w:r>
    </w:p>
    <w:p w14:paraId="46A1CEE1">
      <w:pPr>
        <w:keepNext w:val="0"/>
        <w:keepLines w:val="0"/>
        <w:pageBreakBefore w:val="0"/>
        <w:kinsoku/>
        <w:wordWrap/>
        <w:overflowPunct/>
        <w:topLinePunct w:val="0"/>
        <w:autoSpaceDE/>
        <w:autoSpaceDN/>
        <w:bidi w:val="0"/>
        <w:adjustRightInd/>
        <w:snapToGrid/>
        <w:spacing w:line="52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4、报名地点：</w:t>
      </w:r>
      <w:r>
        <w:rPr>
          <w:rFonts w:hint="eastAsia" w:ascii="仿宋" w:hAnsi="仿宋" w:eastAsia="仿宋" w:cs="仿宋"/>
          <w:color w:val="auto"/>
          <w:sz w:val="24"/>
          <w:szCs w:val="24"/>
          <w:highlight w:val="none"/>
          <w:u w:val="single"/>
        </w:rPr>
        <w:t>铜冠建筑安装股份有限公司四楼</w:t>
      </w:r>
      <w:r>
        <w:rPr>
          <w:rFonts w:hint="eastAsia" w:ascii="仿宋" w:hAnsi="仿宋" w:eastAsia="仿宋" w:cs="仿宋"/>
          <w:color w:val="auto"/>
          <w:sz w:val="24"/>
          <w:szCs w:val="24"/>
          <w:highlight w:val="none"/>
          <w:u w:val="single"/>
          <w:lang w:val="en-US" w:eastAsia="zh-CN"/>
        </w:rPr>
        <w:t>工程部</w:t>
      </w:r>
    </w:p>
    <w:p w14:paraId="465BDE9D">
      <w:pPr>
        <w:keepNext w:val="0"/>
        <w:keepLines w:val="0"/>
        <w:pageBreakBefore w:val="0"/>
        <w:kinsoku/>
        <w:wordWrap/>
        <w:overflowPunct/>
        <w:topLinePunct w:val="0"/>
        <w:autoSpaceDE/>
        <w:autoSpaceDN/>
        <w:bidi w:val="0"/>
        <w:adjustRightInd/>
        <w:snapToGrid/>
        <w:spacing w:line="520" w:lineRule="exact"/>
        <w:ind w:firstLine="490" w:firstLineChars="200"/>
        <w:rPr>
          <w:rFonts w:hint="eastAsia" w:ascii="仿宋" w:hAnsi="仿宋" w:eastAsia="仿宋" w:cs="仿宋"/>
          <w:b w:val="0"/>
          <w:bCs w:val="0"/>
          <w:color w:val="auto"/>
          <w:sz w:val="24"/>
          <w:szCs w:val="24"/>
          <w:highlight w:val="none"/>
          <w:u w:val="single"/>
          <w:lang w:eastAsia="zh-CN"/>
        </w:rPr>
      </w:pPr>
      <w:r>
        <w:rPr>
          <w:rFonts w:hint="eastAsia" w:ascii="仿宋" w:hAnsi="仿宋" w:eastAsia="仿宋" w:cs="仿宋"/>
          <w:color w:val="auto"/>
          <w:sz w:val="24"/>
          <w:szCs w:val="24"/>
          <w:highlight w:val="none"/>
        </w:rPr>
        <w:t>5、联 系 人：</w:t>
      </w:r>
      <w:r>
        <w:rPr>
          <w:rFonts w:hint="eastAsia" w:ascii="仿宋" w:hAnsi="仿宋" w:eastAsia="仿宋" w:cs="仿宋"/>
          <w:b w:val="0"/>
          <w:bCs w:val="0"/>
          <w:color w:val="auto"/>
          <w:sz w:val="24"/>
          <w:szCs w:val="24"/>
          <w:highlight w:val="none"/>
          <w:u w:val="single"/>
          <w:lang w:eastAsia="zh-CN"/>
        </w:rPr>
        <w:t>陶叶玲（13965204644）</w:t>
      </w:r>
    </w:p>
    <w:p w14:paraId="508BEAEE">
      <w:pPr>
        <w:keepNext w:val="0"/>
        <w:keepLines w:val="0"/>
        <w:pageBreakBefore w:val="0"/>
        <w:kinsoku/>
        <w:wordWrap/>
        <w:overflowPunct/>
        <w:topLinePunct w:val="0"/>
        <w:autoSpaceDE/>
        <w:autoSpaceDN/>
        <w:bidi w:val="0"/>
        <w:adjustRightInd/>
        <w:snapToGrid/>
        <w:spacing w:line="48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六、 </w:t>
      </w:r>
      <w:r>
        <w:rPr>
          <w:rFonts w:hint="eastAsia" w:ascii="仿宋" w:hAnsi="仿宋" w:eastAsia="仿宋" w:cs="仿宋"/>
          <w:b/>
          <w:color w:val="auto"/>
          <w:sz w:val="24"/>
          <w:szCs w:val="24"/>
          <w:highlight w:val="none"/>
          <w:lang w:eastAsia="zh-CN"/>
        </w:rPr>
        <w:t>响应文件</w:t>
      </w:r>
      <w:r>
        <w:rPr>
          <w:rFonts w:hint="eastAsia" w:ascii="仿宋" w:hAnsi="仿宋" w:eastAsia="仿宋" w:cs="仿宋"/>
          <w:b/>
          <w:color w:val="auto"/>
          <w:sz w:val="24"/>
          <w:szCs w:val="24"/>
          <w:highlight w:val="none"/>
        </w:rPr>
        <w:t>的递交</w:t>
      </w:r>
    </w:p>
    <w:p w14:paraId="469CB3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b/>
          <w:color w:val="auto"/>
          <w:sz w:val="24"/>
          <w:szCs w:val="24"/>
          <w:highlight w:val="none"/>
        </w:rPr>
      </w:pPr>
    </w:p>
    <w:p w14:paraId="6AA04554">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lang w:eastAsia="zh-CN"/>
        </w:rPr>
        <w:t>1、响应文件递交的截止时间：</w:t>
      </w:r>
      <w:r>
        <w:rPr>
          <w:rFonts w:hint="eastAsia" w:ascii="仿宋" w:hAnsi="仿宋" w:eastAsia="仿宋" w:cs="仿宋"/>
          <w:color w:val="auto"/>
          <w:sz w:val="24"/>
          <w:szCs w:val="24"/>
          <w:highlight w:val="none"/>
          <w:u w:val="single"/>
          <w:lang w:eastAsia="zh-CN"/>
        </w:rPr>
        <w:t>202</w:t>
      </w:r>
      <w:r>
        <w:rPr>
          <w:rFonts w:hint="eastAsia" w:ascii="仿宋" w:hAnsi="仿宋" w:eastAsia="仿宋" w:cs="仿宋"/>
          <w:color w:val="auto"/>
          <w:sz w:val="24"/>
          <w:szCs w:val="24"/>
          <w:highlight w:val="none"/>
          <w:u w:val="single"/>
          <w:lang w:val="en-US" w:eastAsia="zh-CN"/>
        </w:rPr>
        <w:t>5</w:t>
      </w:r>
      <w:r>
        <w:rPr>
          <w:rFonts w:hint="eastAsia" w:ascii="仿宋" w:hAnsi="仿宋" w:eastAsia="仿宋" w:cs="仿宋"/>
          <w:color w:val="auto"/>
          <w:sz w:val="24"/>
          <w:szCs w:val="24"/>
          <w:highlight w:val="none"/>
          <w:u w:val="single"/>
          <w:lang w:eastAsia="zh-CN"/>
        </w:rPr>
        <w:t>年</w:t>
      </w:r>
      <w:r>
        <w:rPr>
          <w:rFonts w:hint="eastAsia" w:ascii="仿宋" w:hAnsi="仿宋" w:eastAsia="仿宋" w:cs="仿宋"/>
          <w:color w:val="auto"/>
          <w:sz w:val="24"/>
          <w:szCs w:val="24"/>
          <w:highlight w:val="none"/>
          <w:u w:val="single"/>
          <w:lang w:val="en-US" w:eastAsia="zh-CN"/>
        </w:rPr>
        <w:t>05</w:t>
      </w:r>
      <w:r>
        <w:rPr>
          <w:rFonts w:hint="eastAsia" w:ascii="仿宋" w:hAnsi="仿宋" w:eastAsia="仿宋" w:cs="仿宋"/>
          <w:color w:val="auto"/>
          <w:sz w:val="24"/>
          <w:szCs w:val="24"/>
          <w:highlight w:val="none"/>
          <w:u w:val="single"/>
          <w:lang w:eastAsia="zh-CN"/>
        </w:rPr>
        <w:t>月</w:t>
      </w:r>
      <w:r>
        <w:rPr>
          <w:rFonts w:hint="eastAsia" w:ascii="仿宋" w:hAnsi="仿宋" w:eastAsia="仿宋" w:cs="仿宋"/>
          <w:color w:val="auto"/>
          <w:sz w:val="24"/>
          <w:szCs w:val="24"/>
          <w:highlight w:val="none"/>
          <w:u w:val="single"/>
          <w:lang w:val="en-US" w:eastAsia="zh-CN"/>
        </w:rPr>
        <w:t>22</w:t>
      </w:r>
      <w:r>
        <w:rPr>
          <w:rFonts w:hint="eastAsia" w:ascii="仿宋" w:hAnsi="仿宋" w:eastAsia="仿宋" w:cs="仿宋"/>
          <w:color w:val="auto"/>
          <w:sz w:val="24"/>
          <w:szCs w:val="24"/>
          <w:highlight w:val="none"/>
          <w:u w:val="single"/>
          <w:lang w:eastAsia="zh-CN"/>
        </w:rPr>
        <w:t>日</w:t>
      </w:r>
      <w:r>
        <w:rPr>
          <w:rFonts w:hint="eastAsia" w:ascii="仿宋" w:hAnsi="仿宋" w:eastAsia="仿宋" w:cs="仿宋"/>
          <w:color w:val="auto"/>
          <w:sz w:val="24"/>
          <w:szCs w:val="24"/>
          <w:highlight w:val="none"/>
          <w:u w:val="single"/>
          <w:lang w:val="en-US" w:eastAsia="zh-CN"/>
        </w:rPr>
        <w:t>09</w:t>
      </w:r>
      <w:r>
        <w:rPr>
          <w:rFonts w:hint="eastAsia" w:ascii="仿宋" w:hAnsi="仿宋" w:eastAsia="仿宋" w:cs="仿宋"/>
          <w:color w:val="auto"/>
          <w:sz w:val="24"/>
          <w:szCs w:val="24"/>
          <w:highlight w:val="none"/>
          <w:u w:val="single"/>
          <w:lang w:eastAsia="zh-CN"/>
        </w:rPr>
        <w:t>:00</w:t>
      </w:r>
    </w:p>
    <w:p w14:paraId="7247FF91">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w:t>
      </w:r>
      <w:r>
        <w:rPr>
          <w:rFonts w:hint="eastAsia" w:ascii="仿宋" w:hAnsi="仿宋" w:eastAsia="仿宋" w:cs="仿宋"/>
          <w:color w:val="auto"/>
          <w:sz w:val="24"/>
          <w:szCs w:val="24"/>
          <w:highlight w:val="none"/>
          <w:u w:val="single"/>
        </w:rPr>
        <w:t>铜冠建筑安装股份有限公司四楼经营部（安徽省铜陵市黄山大道南段879号）</w:t>
      </w:r>
    </w:p>
    <w:p w14:paraId="51FD3069">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收件人：</w:t>
      </w:r>
      <w:r>
        <w:rPr>
          <w:rFonts w:hint="eastAsia" w:ascii="仿宋" w:hAnsi="仿宋" w:eastAsia="仿宋" w:cs="仿宋"/>
          <w:color w:val="auto"/>
          <w:sz w:val="24"/>
          <w:szCs w:val="24"/>
          <w:highlight w:val="none"/>
          <w:u w:val="single"/>
        </w:rPr>
        <w:t>黄赟（18656211500）</w:t>
      </w:r>
    </w:p>
    <w:p w14:paraId="7A6A2BE6">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4、逾期送达的或未按规定送达指定地点的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none"/>
          <w:lang w:val="en-US" w:eastAsia="zh-CN"/>
        </w:rPr>
        <w:t>询比采购人</w:t>
      </w:r>
      <w:r>
        <w:rPr>
          <w:rFonts w:hint="eastAsia" w:ascii="仿宋" w:hAnsi="仿宋" w:eastAsia="仿宋" w:cs="仿宋"/>
          <w:color w:val="auto"/>
          <w:sz w:val="24"/>
          <w:szCs w:val="24"/>
          <w:highlight w:val="none"/>
        </w:rPr>
        <w:t>不予受理。</w:t>
      </w:r>
    </w:p>
    <w:p w14:paraId="4EF74B4C">
      <w:pPr>
        <w:keepNext w:val="0"/>
        <w:keepLines w:val="0"/>
        <w:pageBreakBefore w:val="0"/>
        <w:kinsoku/>
        <w:wordWrap/>
        <w:overflowPunct/>
        <w:topLinePunct w:val="0"/>
        <w:autoSpaceDE/>
        <w:autoSpaceDN/>
        <w:bidi w:val="0"/>
        <w:adjustRightInd/>
        <w:snapToGrid/>
        <w:spacing w:line="480" w:lineRule="exact"/>
        <w:jc w:val="center"/>
        <w:rPr>
          <w:rFonts w:hint="eastAsia" w:ascii="仿宋" w:hAnsi="仿宋" w:eastAsia="仿宋" w:cs="仿宋"/>
          <w:b/>
          <w:color w:val="auto"/>
          <w:sz w:val="24"/>
          <w:szCs w:val="24"/>
          <w:highlight w:val="none"/>
          <w:lang w:val="en-US" w:eastAsia="zh-CN"/>
        </w:rPr>
      </w:pPr>
    </w:p>
    <w:p w14:paraId="10211128">
      <w:pPr>
        <w:keepNext w:val="0"/>
        <w:keepLines w:val="0"/>
        <w:pageBreakBefore w:val="0"/>
        <w:kinsoku/>
        <w:wordWrap/>
        <w:overflowPunct/>
        <w:topLinePunct w:val="0"/>
        <w:autoSpaceDE/>
        <w:autoSpaceDN/>
        <w:bidi w:val="0"/>
        <w:adjustRightInd/>
        <w:snapToGrid/>
        <w:spacing w:line="48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七</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w:t>
      </w:r>
    </w:p>
    <w:p w14:paraId="7DE121FA">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 w:hAnsi="仿宋" w:eastAsia="仿宋" w:cs="仿宋"/>
          <w:b/>
          <w:color w:val="auto"/>
          <w:sz w:val="24"/>
          <w:szCs w:val="24"/>
          <w:highlight w:val="none"/>
        </w:rPr>
      </w:pPr>
    </w:p>
    <w:p w14:paraId="587805CD">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1、与本次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lang w:val="en-US" w:eastAsia="zh-CN"/>
        </w:rPr>
        <w:t>胶凝材料运输的内容</w:t>
      </w:r>
    </w:p>
    <w:p w14:paraId="360E30EC">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shd w:val="clear" w:fill="FFFF00"/>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）运输项目</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eastAsia="zh-CN"/>
        </w:rPr>
        <w:t>铜陵有色金属集团铜冠建筑安装股份有限公司</w:t>
      </w:r>
      <w:r>
        <w:rPr>
          <w:rFonts w:hint="eastAsia" w:ascii="仿宋" w:hAnsi="仿宋" w:eastAsia="仿宋" w:cs="仿宋"/>
          <w:color w:val="auto"/>
          <w:sz w:val="24"/>
          <w:szCs w:val="24"/>
          <w:highlight w:val="none"/>
          <w:lang w:val="en-US" w:eastAsia="zh-CN"/>
        </w:rPr>
        <w:t>2025年度矿山充填胶凝材料运输业务</w:t>
      </w:r>
      <w:r>
        <w:rPr>
          <w:rFonts w:hint="eastAsia" w:ascii="仿宋" w:hAnsi="仿宋" w:eastAsia="仿宋" w:cs="仿宋"/>
          <w:color w:val="auto"/>
          <w:sz w:val="24"/>
          <w:szCs w:val="24"/>
          <w:highlight w:val="none"/>
        </w:rPr>
        <w:t>询比采购</w:t>
      </w:r>
    </w:p>
    <w:p w14:paraId="29974824">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）运输项目内容：运送胶凝材料至指定矿山，指定地点</w:t>
      </w:r>
    </w:p>
    <w:p w14:paraId="61EC6149">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计价方式：固定</w:t>
      </w:r>
      <w:r>
        <w:rPr>
          <w:rFonts w:hint="eastAsia" w:ascii="仿宋" w:hAnsi="仿宋" w:eastAsia="仿宋" w:cs="仿宋"/>
          <w:color w:val="auto"/>
          <w:sz w:val="24"/>
          <w:szCs w:val="24"/>
          <w:highlight w:val="none"/>
          <w:lang w:eastAsia="zh-CN"/>
        </w:rPr>
        <w:t>运</w:t>
      </w:r>
      <w:r>
        <w:rPr>
          <w:rFonts w:hint="eastAsia" w:ascii="仿宋" w:hAnsi="仿宋" w:eastAsia="仿宋" w:cs="仿宋"/>
          <w:color w:val="auto"/>
          <w:sz w:val="24"/>
          <w:szCs w:val="24"/>
          <w:highlight w:val="none"/>
        </w:rPr>
        <w:t>价</w:t>
      </w:r>
    </w:p>
    <w:p w14:paraId="1A0FEB64">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2、付款方式</w:t>
      </w:r>
    </w:p>
    <w:p w14:paraId="0256E651">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lang w:eastAsia="zh-CN"/>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乙方应在每月21日提供当月结算清单（附《发货单》）至甲方商务部，配合甲方工作人员完成结算审核。审核后，乙方依据结算单在当月30日前开具9%增值税专用发票交甲方商务部，甲方商务部当月办理入账手续。</w:t>
      </w:r>
    </w:p>
    <w:p w14:paraId="418412E5">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3、运输费支付：甲方按上月入账金额在次月支付 60% ，2026年2月10日（一周内）付至 80% ,余款2026年12月31日（一周内）付清。</w:t>
      </w:r>
    </w:p>
    <w:p w14:paraId="5AEEB5DB">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lang w:eastAsia="zh-CN"/>
        </w:rPr>
        <w:t>方</w:t>
      </w:r>
      <w:r>
        <w:rPr>
          <w:rFonts w:hint="eastAsia" w:ascii="仿宋" w:hAnsi="仿宋" w:eastAsia="仿宋" w:cs="仿宋"/>
          <w:color w:val="auto"/>
          <w:sz w:val="24"/>
          <w:szCs w:val="24"/>
          <w:highlight w:val="none"/>
          <w:lang w:val="en-US" w:eastAsia="zh-CN"/>
        </w:rPr>
        <w:t>应按时提供当月全额结算单，不得遗漏统计《发货单》。如乙方</w:t>
      </w:r>
      <w:r>
        <w:rPr>
          <w:rFonts w:hint="eastAsia" w:ascii="仿宋" w:hAnsi="仿宋" w:eastAsia="仿宋" w:cs="仿宋"/>
          <w:color w:val="auto"/>
          <w:sz w:val="24"/>
          <w:szCs w:val="24"/>
          <w:highlight w:val="none"/>
          <w:lang w:eastAsia="zh-CN"/>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lang w:eastAsia="zh-CN"/>
        </w:rPr>
        <w:t>延期至下月办理,付款亦顺延，</w:t>
      </w:r>
      <w:r>
        <w:rPr>
          <w:rFonts w:hint="eastAsia" w:ascii="仿宋" w:hAnsi="仿宋" w:eastAsia="仿宋" w:cs="仿宋"/>
          <w:color w:val="auto"/>
          <w:sz w:val="24"/>
          <w:szCs w:val="24"/>
          <w:highlight w:val="none"/>
          <w:lang w:val="en-US" w:eastAsia="zh-CN"/>
        </w:rPr>
        <w:t xml:space="preserve">同时罚款 2000元/次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如由乙方原因造成漏单，次月补办时甲方有权扣除所漏《发货单》运输费的 50% 。</w:t>
      </w:r>
      <w:r>
        <w:rPr>
          <w:rFonts w:hint="eastAsia" w:ascii="仿宋" w:hAnsi="仿宋" w:eastAsia="仿宋" w:cs="仿宋"/>
          <w:color w:val="auto"/>
          <w:sz w:val="24"/>
          <w:szCs w:val="24"/>
          <w:highlight w:val="none"/>
          <w:lang w:eastAsia="zh-CN"/>
        </w:rPr>
        <w:t>无回单（运输联）或签收不符合要求不予结算运费。</w:t>
      </w:r>
    </w:p>
    <w:p w14:paraId="093B2313">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、报价相关要求</w:t>
      </w:r>
    </w:p>
    <w:p w14:paraId="48EA4A02">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（1）承运商报价为含税</w:t>
      </w:r>
      <w:r>
        <w:rPr>
          <w:rFonts w:hint="eastAsia" w:ascii="仿宋" w:hAnsi="仿宋" w:eastAsia="仿宋" w:cs="仿宋"/>
          <w:color w:val="auto"/>
          <w:sz w:val="24"/>
          <w:szCs w:val="24"/>
          <w:highlight w:val="none"/>
          <w:lang w:val="en-US" w:eastAsia="zh-CN"/>
        </w:rPr>
        <w:t>价</w:t>
      </w:r>
      <w:r>
        <w:rPr>
          <w:rFonts w:hint="eastAsia" w:ascii="仿宋" w:hAnsi="仿宋" w:eastAsia="仿宋" w:cs="仿宋"/>
          <w:color w:val="auto"/>
          <w:sz w:val="24"/>
          <w:szCs w:val="24"/>
          <w:highlight w:val="none"/>
          <w:lang w:eastAsia="zh-CN"/>
        </w:rPr>
        <w:t>（税率</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p>
    <w:p w14:paraId="12C6CA8D">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（2）各</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在报价前应仔细审阅</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公告、报价表及报价说明等与此次报价相关的所有资料。报价要谨慎，一旦</w:t>
      </w:r>
      <w:r>
        <w:rPr>
          <w:rFonts w:hint="eastAsia" w:ascii="仿宋" w:hAnsi="仿宋" w:eastAsia="仿宋" w:cs="仿宋"/>
          <w:color w:val="auto"/>
          <w:sz w:val="24"/>
          <w:szCs w:val="24"/>
          <w:highlight w:val="none"/>
          <w:lang w:eastAsia="zh-CN"/>
        </w:rPr>
        <w:t>确定为成交人</w:t>
      </w:r>
      <w:r>
        <w:rPr>
          <w:rFonts w:hint="eastAsia" w:ascii="仿宋" w:hAnsi="仿宋" w:eastAsia="仿宋" w:cs="仿宋"/>
          <w:color w:val="auto"/>
          <w:sz w:val="24"/>
          <w:szCs w:val="24"/>
          <w:highlight w:val="none"/>
        </w:rPr>
        <w:t>，视为理解并考虑了</w:t>
      </w:r>
      <w:r>
        <w:rPr>
          <w:rFonts w:hint="eastAsia" w:ascii="仿宋" w:hAnsi="仿宋" w:eastAsia="仿宋" w:cs="仿宋"/>
          <w:color w:val="auto"/>
          <w:sz w:val="24"/>
          <w:szCs w:val="24"/>
          <w:highlight w:val="none"/>
          <w:lang w:eastAsia="zh-CN"/>
        </w:rPr>
        <w:t>询比采购单位</w:t>
      </w:r>
      <w:r>
        <w:rPr>
          <w:rFonts w:hint="eastAsia" w:ascii="仿宋" w:hAnsi="仿宋" w:eastAsia="仿宋" w:cs="仿宋"/>
          <w:color w:val="auto"/>
          <w:sz w:val="24"/>
          <w:szCs w:val="24"/>
          <w:highlight w:val="none"/>
        </w:rPr>
        <w:t>要求的报价，不得以任何理由变更。</w:t>
      </w:r>
    </w:p>
    <w:p w14:paraId="0721C6B0">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相关要求</w:t>
      </w:r>
    </w:p>
    <w:p w14:paraId="43300DD3">
      <w:pPr>
        <w:keepNext w:val="0"/>
        <w:keepLines w:val="0"/>
        <w:pageBreakBefore w:val="0"/>
        <w:kinsoku/>
        <w:wordWrap/>
        <w:overflowPunct/>
        <w:topLinePunct w:val="0"/>
        <w:autoSpaceDE/>
        <w:autoSpaceDN/>
        <w:bidi w:val="0"/>
        <w:adjustRightInd/>
        <w:snapToGrid/>
        <w:spacing w:line="48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单位公章（原章）并作为</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资料的一部分。以上事项不符合要求的视为无效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24CA4B67">
      <w:pPr>
        <w:keepNext w:val="0"/>
        <w:keepLines w:val="0"/>
        <w:pageBreakBefore w:val="0"/>
        <w:kinsoku/>
        <w:wordWrap/>
        <w:overflowPunct/>
        <w:topLinePunct w:val="0"/>
        <w:autoSpaceDE/>
        <w:autoSpaceDN/>
        <w:bidi w:val="0"/>
        <w:adjustRightInd/>
        <w:snapToGrid/>
        <w:spacing w:line="48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文件密封袋封口处应密封完整，加盖</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单位公章，并且注明</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编号及</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val="en-US" w:eastAsia="zh-CN"/>
        </w:rPr>
        <w:t>采购文件</w:t>
      </w:r>
      <w:r>
        <w:rPr>
          <w:rFonts w:hint="eastAsia" w:ascii="仿宋" w:hAnsi="仿宋" w:eastAsia="仿宋" w:cs="仿宋"/>
          <w:color w:val="auto"/>
          <w:sz w:val="24"/>
          <w:szCs w:val="24"/>
          <w:highlight w:val="none"/>
        </w:rPr>
        <w:t>名称。因</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制作、密封、寄送报价文件不符合要求的视为无效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630C83F2">
      <w:pPr>
        <w:keepNext w:val="0"/>
        <w:keepLines w:val="0"/>
        <w:pageBreakBefore w:val="0"/>
        <w:kinsoku/>
        <w:wordWrap/>
        <w:overflowPunct/>
        <w:topLinePunct w:val="0"/>
        <w:autoSpaceDE/>
        <w:autoSpaceDN/>
        <w:bidi w:val="0"/>
        <w:adjustRightInd/>
        <w:snapToGrid/>
        <w:spacing w:line="48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首次</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时需提供加盖公章的营业执照副本的复印件及其它资质资料。</w:t>
      </w:r>
    </w:p>
    <w:p w14:paraId="121BAD39">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、交货地点</w:t>
      </w:r>
    </w:p>
    <w:p w14:paraId="6F0A7BF4">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en-US" w:eastAsia="zh-CN"/>
        </w:rPr>
        <w:t>胶凝材料运输</w:t>
      </w:r>
      <w:r>
        <w:rPr>
          <w:rFonts w:hint="eastAsia" w:ascii="仿宋" w:hAnsi="仿宋" w:eastAsia="仿宋" w:cs="仿宋"/>
          <w:color w:val="auto"/>
          <w:sz w:val="24"/>
          <w:szCs w:val="24"/>
          <w:highlight w:val="none"/>
          <w:u w:val="single"/>
        </w:rPr>
        <w:t>至指定地点。</w:t>
      </w:r>
    </w:p>
    <w:p w14:paraId="3BBFA810">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u w:val="single"/>
        </w:rPr>
        <w:t>的</w:t>
      </w:r>
      <w:r>
        <w:rPr>
          <w:rFonts w:hint="eastAsia" w:ascii="仿宋" w:hAnsi="仿宋" w:eastAsia="仿宋" w:cs="仿宋"/>
          <w:color w:val="auto"/>
          <w:sz w:val="24"/>
          <w:szCs w:val="24"/>
          <w:highlight w:val="none"/>
          <w:u w:val="single"/>
          <w:lang w:val="en-US" w:eastAsia="zh-CN"/>
        </w:rPr>
        <w:t>胶凝材料由承运商</w:t>
      </w:r>
      <w:r>
        <w:rPr>
          <w:rFonts w:hint="eastAsia" w:ascii="仿宋" w:hAnsi="仿宋" w:eastAsia="仿宋" w:cs="仿宋"/>
          <w:color w:val="auto"/>
          <w:sz w:val="24"/>
          <w:szCs w:val="24"/>
          <w:highlight w:val="none"/>
          <w:u w:val="single"/>
        </w:rPr>
        <w:t>负责运输。运输过程中未按相关安全、环保等要求所导致的一切安全生产事故由</w:t>
      </w:r>
      <w:r>
        <w:rPr>
          <w:rFonts w:hint="eastAsia" w:ascii="仿宋" w:hAnsi="仿宋" w:eastAsia="仿宋" w:cs="仿宋"/>
          <w:color w:val="auto"/>
          <w:sz w:val="24"/>
          <w:szCs w:val="24"/>
          <w:highlight w:val="none"/>
          <w:u w:val="single"/>
          <w:lang w:eastAsia="zh-CN"/>
        </w:rPr>
        <w:t>承运人</w:t>
      </w:r>
      <w:r>
        <w:rPr>
          <w:rFonts w:hint="eastAsia" w:ascii="仿宋" w:hAnsi="仿宋" w:eastAsia="仿宋" w:cs="仿宋"/>
          <w:color w:val="auto"/>
          <w:sz w:val="24"/>
          <w:szCs w:val="24"/>
          <w:highlight w:val="none"/>
          <w:u w:val="single"/>
        </w:rPr>
        <w:t>承担责任。</w:t>
      </w:r>
    </w:p>
    <w:p w14:paraId="6E7C42B5">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rPr>
        <w:t>数量验收确认方式：</w:t>
      </w:r>
      <w:r>
        <w:rPr>
          <w:rFonts w:hint="eastAsia" w:ascii="仿宋" w:hAnsi="仿宋" w:eastAsia="仿宋" w:cs="仿宋"/>
          <w:color w:val="auto"/>
          <w:sz w:val="24"/>
          <w:szCs w:val="24"/>
          <w:highlight w:val="none"/>
          <w:u w:val="single"/>
          <w:lang w:eastAsia="zh-CN"/>
        </w:rPr>
        <w:t>以磅单最小值为准</w:t>
      </w:r>
      <w:r>
        <w:rPr>
          <w:rFonts w:hint="eastAsia" w:ascii="仿宋" w:hAnsi="仿宋" w:eastAsia="仿宋" w:cs="仿宋"/>
          <w:color w:val="auto"/>
          <w:sz w:val="24"/>
          <w:szCs w:val="24"/>
          <w:highlight w:val="none"/>
          <w:u w:val="single"/>
        </w:rPr>
        <w:t>。</w:t>
      </w:r>
    </w:p>
    <w:p w14:paraId="6BB9EDF6">
      <w:pPr>
        <w:pStyle w:val="55"/>
        <w:keepNext w:val="0"/>
        <w:keepLines w:val="0"/>
        <w:pageBreakBefore w:val="0"/>
        <w:kinsoku/>
        <w:wordWrap/>
        <w:overflowPunct/>
        <w:topLinePunct w:val="0"/>
        <w:autoSpaceDE/>
        <w:autoSpaceDN/>
        <w:bidi w:val="0"/>
        <w:adjustRightInd/>
        <w:snapToGrid/>
        <w:spacing w:line="480" w:lineRule="exact"/>
        <w:ind w:left="0" w:leftChars="0" w:firstLine="0" w:firstLineChars="0"/>
        <w:rPr>
          <w:rFonts w:hint="eastAsia" w:ascii="仿宋" w:hAnsi="仿宋" w:eastAsia="仿宋" w:cs="仿宋"/>
          <w:b/>
          <w:color w:val="auto"/>
          <w:sz w:val="24"/>
          <w:szCs w:val="24"/>
          <w:highlight w:val="none"/>
        </w:rPr>
      </w:pPr>
    </w:p>
    <w:p w14:paraId="3A2EE6E8">
      <w:pPr>
        <w:keepNext w:val="0"/>
        <w:keepLines w:val="0"/>
        <w:pageBreakBefore w:val="0"/>
        <w:kinsoku/>
        <w:wordWrap/>
        <w:overflowPunct/>
        <w:topLinePunct w:val="0"/>
        <w:autoSpaceDE/>
        <w:autoSpaceDN/>
        <w:bidi w:val="0"/>
        <w:adjustRightInd/>
        <w:snapToGrid/>
        <w:spacing w:line="48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八</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评审</w:t>
      </w:r>
      <w:r>
        <w:rPr>
          <w:rFonts w:hint="eastAsia" w:ascii="仿宋" w:hAnsi="仿宋" w:eastAsia="仿宋" w:cs="仿宋"/>
          <w:b/>
          <w:color w:val="auto"/>
          <w:sz w:val="24"/>
          <w:szCs w:val="24"/>
          <w:highlight w:val="none"/>
        </w:rPr>
        <w:t>及</w:t>
      </w:r>
      <w:r>
        <w:rPr>
          <w:rFonts w:hint="eastAsia" w:ascii="仿宋" w:hAnsi="仿宋" w:eastAsia="仿宋" w:cs="仿宋"/>
          <w:b/>
          <w:color w:val="auto"/>
          <w:sz w:val="24"/>
          <w:szCs w:val="24"/>
          <w:highlight w:val="none"/>
          <w:lang w:eastAsia="zh-CN"/>
        </w:rPr>
        <w:t>成交</w:t>
      </w:r>
      <w:r>
        <w:rPr>
          <w:rFonts w:hint="eastAsia" w:ascii="仿宋" w:hAnsi="仿宋" w:eastAsia="仿宋" w:cs="仿宋"/>
          <w:b/>
          <w:color w:val="auto"/>
          <w:sz w:val="24"/>
          <w:szCs w:val="24"/>
          <w:highlight w:val="none"/>
        </w:rPr>
        <w:t>履约要求</w:t>
      </w:r>
    </w:p>
    <w:p w14:paraId="25DFE2D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b/>
          <w:color w:val="auto"/>
          <w:sz w:val="24"/>
          <w:szCs w:val="24"/>
          <w:highlight w:val="none"/>
        </w:rPr>
      </w:pPr>
    </w:p>
    <w:p w14:paraId="2A3FC644">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由铜冠建安公司纪委随机临时确定评委并组建的</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负责。</w:t>
      </w:r>
    </w:p>
    <w:p w14:paraId="67C94275">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原则：</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活动遵循公平、公正、科学和择优的原则。</w:t>
      </w:r>
    </w:p>
    <w:p w14:paraId="7D04C973">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以价格为</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依据，采取“合理低价法”</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。即以经</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审核，剔除偏离市场行情较大的恶意报价后的报价进行排序，其中价格最低的报价单位为预</w:t>
      </w:r>
      <w:r>
        <w:rPr>
          <w:rFonts w:hint="eastAsia" w:ascii="仿宋" w:hAnsi="仿宋" w:eastAsia="仿宋" w:cs="仿宋"/>
          <w:color w:val="auto"/>
          <w:sz w:val="24"/>
          <w:szCs w:val="24"/>
          <w:highlight w:val="none"/>
          <w:u w:val="single"/>
          <w:lang w:eastAsia="zh-CN"/>
        </w:rPr>
        <w:t>成交人。</w:t>
      </w:r>
    </w:p>
    <w:p w14:paraId="19B7F038">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候选人推荐：</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依据</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结果推荐一名</w:t>
      </w:r>
      <w:r>
        <w:rPr>
          <w:rFonts w:hint="eastAsia" w:ascii="仿宋" w:hAnsi="仿宋" w:eastAsia="仿宋" w:cs="仿宋"/>
          <w:color w:val="auto"/>
          <w:sz w:val="24"/>
          <w:szCs w:val="24"/>
          <w:highlight w:val="none"/>
          <w:u w:val="single"/>
          <w:lang w:eastAsia="zh-CN"/>
        </w:rPr>
        <w:t>成交</w:t>
      </w:r>
      <w:r>
        <w:rPr>
          <w:rFonts w:hint="eastAsia" w:ascii="仿宋" w:hAnsi="仿宋" w:eastAsia="仿宋" w:cs="仿宋"/>
          <w:color w:val="auto"/>
          <w:sz w:val="24"/>
          <w:szCs w:val="24"/>
          <w:highlight w:val="none"/>
          <w:u w:val="single"/>
        </w:rPr>
        <w:t>候选人。</w:t>
      </w:r>
    </w:p>
    <w:p w14:paraId="011B79EC">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以书面形式向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人发出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w:t>
      </w:r>
    </w:p>
    <w:p w14:paraId="760E9BE6">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人应当自</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通知书发出之日起三十日内，按照</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订立书面合同，</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不得再行订立背离本次</w:t>
      </w:r>
      <w:r>
        <w:rPr>
          <w:rFonts w:hint="eastAsia" w:ascii="仿宋" w:hAnsi="仿宋" w:eastAsia="仿宋" w:cs="仿宋"/>
          <w:color w:val="auto"/>
          <w:sz w:val="24"/>
          <w:szCs w:val="24"/>
          <w:highlight w:val="none"/>
          <w:lang w:eastAsia="zh-CN"/>
        </w:rPr>
        <w:t>采购公告</w:t>
      </w:r>
      <w:r>
        <w:rPr>
          <w:rFonts w:hint="eastAsia" w:ascii="仿宋" w:hAnsi="仿宋" w:eastAsia="仿宋" w:cs="仿宋"/>
          <w:color w:val="auto"/>
          <w:sz w:val="24"/>
          <w:szCs w:val="24"/>
          <w:highlight w:val="none"/>
        </w:rPr>
        <w:t>实质性内容的其他协议。</w:t>
      </w:r>
    </w:p>
    <w:p w14:paraId="4814BB21">
      <w:pPr>
        <w:ind w:firstLine="490"/>
        <w:rPr>
          <w:rFonts w:hint="eastAsia" w:ascii="仿宋" w:hAnsi="仿宋" w:eastAsia="仿宋" w:cs="仿宋"/>
          <w:b/>
          <w:color w:val="auto"/>
          <w:sz w:val="24"/>
          <w:szCs w:val="24"/>
          <w:highlight w:val="none"/>
          <w:lang w:val="en-US" w:eastAsia="zh-CN"/>
        </w:rPr>
      </w:pPr>
    </w:p>
    <w:p w14:paraId="0BBEB5E3">
      <w:pPr>
        <w:pStyle w:val="154"/>
        <w:keepNext w:val="0"/>
        <w:keepLines w:val="0"/>
        <w:pageBreakBefore w:val="0"/>
        <w:numPr>
          <w:ilvl w:val="0"/>
          <w:numId w:val="0"/>
        </w:numPr>
        <w:kinsoku/>
        <w:wordWrap/>
        <w:overflowPunct/>
        <w:topLinePunct w:val="0"/>
        <w:autoSpaceDE/>
        <w:autoSpaceDN/>
        <w:bidi w:val="0"/>
        <w:adjustRightInd/>
        <w:snapToGrid/>
        <w:spacing w:line="480" w:lineRule="exact"/>
        <w:ind w:left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九、</w:t>
      </w:r>
      <w:r>
        <w:rPr>
          <w:rFonts w:hint="eastAsia" w:ascii="仿宋" w:hAnsi="仿宋" w:eastAsia="仿宋" w:cs="仿宋"/>
          <w:b/>
          <w:color w:val="auto"/>
          <w:sz w:val="24"/>
          <w:szCs w:val="24"/>
          <w:highlight w:val="none"/>
        </w:rPr>
        <w:t>纪律和监督</w:t>
      </w:r>
    </w:p>
    <w:p w14:paraId="1F2A7F84">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1、对</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不得泄漏</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活动中应当保密的情况和资料，不得与</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串通损害公司利益或者他人合法权益。</w:t>
      </w:r>
    </w:p>
    <w:p w14:paraId="31E24827">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2、对</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，不得向</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或者</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成员行贿谋取中标，不得以他人名义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不得以任何方式干扰、影响</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工作。</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有上述行为的，</w:t>
      </w:r>
      <w:r>
        <w:rPr>
          <w:rFonts w:hint="eastAsia" w:ascii="仿宋" w:hAnsi="仿宋" w:eastAsia="仿宋" w:cs="仿宋"/>
          <w:color w:val="auto"/>
          <w:sz w:val="24"/>
          <w:szCs w:val="24"/>
          <w:highlight w:val="none"/>
          <w:u w:val="single"/>
        </w:rPr>
        <w:t>一经确认将取消其今后参加我公司的</w:t>
      </w:r>
      <w:r>
        <w:rPr>
          <w:rFonts w:hint="eastAsia" w:ascii="仿宋" w:hAnsi="仿宋" w:eastAsia="仿宋" w:cs="仿宋"/>
          <w:color w:val="auto"/>
          <w:sz w:val="24"/>
          <w:szCs w:val="24"/>
          <w:highlight w:val="none"/>
          <w:u w:val="single"/>
          <w:lang w:eastAsia="zh-CN"/>
        </w:rPr>
        <w:t>报价</w:t>
      </w:r>
      <w:r>
        <w:rPr>
          <w:rFonts w:hint="eastAsia" w:ascii="仿宋" w:hAnsi="仿宋" w:eastAsia="仿宋" w:cs="仿宋"/>
          <w:color w:val="auto"/>
          <w:sz w:val="24"/>
          <w:szCs w:val="24"/>
          <w:highlight w:val="none"/>
          <w:u w:val="single"/>
        </w:rPr>
        <w:t>资格，</w:t>
      </w:r>
      <w:r>
        <w:rPr>
          <w:rFonts w:hint="eastAsia" w:ascii="仿宋" w:hAnsi="仿宋" w:eastAsia="仿宋" w:cs="仿宋"/>
          <w:color w:val="auto"/>
          <w:sz w:val="24"/>
          <w:szCs w:val="24"/>
          <w:highlight w:val="none"/>
          <w:u w:val="single"/>
          <w:lang w:eastAsia="zh-CN"/>
        </w:rPr>
        <w:t>并</w:t>
      </w:r>
      <w:r>
        <w:rPr>
          <w:rFonts w:hint="eastAsia" w:ascii="仿宋" w:hAnsi="仿宋" w:eastAsia="仿宋" w:cs="仿宋"/>
          <w:color w:val="auto"/>
          <w:sz w:val="24"/>
          <w:szCs w:val="24"/>
          <w:highlight w:val="none"/>
          <w:u w:val="single"/>
        </w:rPr>
        <w:t>列入供应商黑名单。</w:t>
      </w:r>
    </w:p>
    <w:p w14:paraId="65A5BABA">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u w:val="single"/>
        </w:rPr>
      </w:pPr>
    </w:p>
    <w:p w14:paraId="63493B60">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u w:val="single"/>
        </w:rPr>
      </w:pPr>
    </w:p>
    <w:p w14:paraId="118B6125">
      <w:pPr>
        <w:spacing w:line="360" w:lineRule="auto"/>
        <w:jc w:val="center"/>
        <w:rPr>
          <w:rFonts w:hint="eastAsia" w:ascii="仿宋" w:hAnsi="仿宋" w:eastAsia="仿宋" w:cs="仿宋"/>
          <w:b/>
          <w:color w:val="auto"/>
          <w:sz w:val="24"/>
          <w:szCs w:val="24"/>
          <w:highlight w:val="none"/>
        </w:rPr>
      </w:pPr>
    </w:p>
    <w:p w14:paraId="3CC65B38">
      <w:pPr>
        <w:spacing w:line="360" w:lineRule="auto"/>
        <w:jc w:val="center"/>
        <w:rPr>
          <w:rFonts w:hint="eastAsia" w:ascii="仿宋" w:hAnsi="仿宋" w:eastAsia="仿宋" w:cs="仿宋"/>
          <w:b/>
          <w:color w:val="auto"/>
          <w:sz w:val="24"/>
          <w:szCs w:val="24"/>
          <w:highlight w:val="none"/>
        </w:rPr>
      </w:pPr>
    </w:p>
    <w:p w14:paraId="214CC831">
      <w:pPr>
        <w:spacing w:line="360" w:lineRule="auto"/>
        <w:jc w:val="center"/>
        <w:rPr>
          <w:rFonts w:hint="eastAsia" w:ascii="仿宋" w:hAnsi="仿宋" w:eastAsia="仿宋" w:cs="仿宋"/>
          <w:b/>
          <w:color w:val="auto"/>
          <w:sz w:val="24"/>
          <w:szCs w:val="24"/>
          <w:highlight w:val="none"/>
        </w:rPr>
      </w:pPr>
    </w:p>
    <w:p w14:paraId="5185BA20">
      <w:pPr>
        <w:spacing w:line="360" w:lineRule="auto"/>
        <w:jc w:val="center"/>
        <w:rPr>
          <w:rFonts w:hint="eastAsia" w:ascii="仿宋" w:hAnsi="仿宋" w:eastAsia="仿宋" w:cs="仿宋"/>
          <w:b/>
          <w:color w:val="auto"/>
          <w:sz w:val="24"/>
          <w:szCs w:val="24"/>
          <w:highlight w:val="none"/>
        </w:rPr>
      </w:pPr>
    </w:p>
    <w:p w14:paraId="2446D57B">
      <w:pPr>
        <w:spacing w:line="360" w:lineRule="auto"/>
        <w:jc w:val="center"/>
        <w:rPr>
          <w:rFonts w:hint="eastAsia" w:ascii="仿宋" w:hAnsi="仿宋" w:eastAsia="仿宋" w:cs="仿宋"/>
          <w:b/>
          <w:color w:val="auto"/>
          <w:sz w:val="24"/>
          <w:szCs w:val="24"/>
          <w:highlight w:val="none"/>
        </w:rPr>
      </w:pPr>
    </w:p>
    <w:p w14:paraId="5FB6AE4F">
      <w:pPr>
        <w:spacing w:line="360" w:lineRule="auto"/>
        <w:jc w:val="center"/>
        <w:rPr>
          <w:rFonts w:hint="eastAsia" w:ascii="仿宋" w:hAnsi="仿宋" w:eastAsia="仿宋" w:cs="仿宋"/>
          <w:b/>
          <w:color w:val="auto"/>
          <w:sz w:val="24"/>
          <w:szCs w:val="24"/>
          <w:highlight w:val="none"/>
        </w:rPr>
      </w:pPr>
    </w:p>
    <w:p w14:paraId="4FFF4BF2">
      <w:pPr>
        <w:spacing w:line="360" w:lineRule="auto"/>
        <w:jc w:val="center"/>
        <w:rPr>
          <w:rFonts w:hint="eastAsia" w:ascii="仿宋" w:hAnsi="仿宋" w:eastAsia="仿宋" w:cs="仿宋"/>
          <w:b/>
          <w:color w:val="auto"/>
          <w:sz w:val="24"/>
          <w:szCs w:val="24"/>
          <w:highlight w:val="none"/>
        </w:rPr>
      </w:pPr>
    </w:p>
    <w:p w14:paraId="29F906B6">
      <w:pPr>
        <w:spacing w:line="360" w:lineRule="auto"/>
        <w:jc w:val="center"/>
        <w:rPr>
          <w:rFonts w:hint="eastAsia" w:ascii="仿宋" w:hAnsi="仿宋" w:eastAsia="仿宋" w:cs="仿宋"/>
          <w:b/>
          <w:color w:val="auto"/>
          <w:sz w:val="24"/>
          <w:szCs w:val="24"/>
          <w:highlight w:val="none"/>
        </w:rPr>
      </w:pPr>
    </w:p>
    <w:p w14:paraId="06408D30">
      <w:pPr>
        <w:spacing w:line="360" w:lineRule="auto"/>
        <w:jc w:val="center"/>
        <w:rPr>
          <w:rFonts w:hint="eastAsia" w:ascii="仿宋" w:hAnsi="仿宋" w:eastAsia="仿宋" w:cs="仿宋"/>
          <w:b/>
          <w:color w:val="auto"/>
          <w:sz w:val="24"/>
          <w:szCs w:val="24"/>
          <w:highlight w:val="none"/>
        </w:rPr>
      </w:pPr>
    </w:p>
    <w:p w14:paraId="45C4324D">
      <w:pPr>
        <w:spacing w:line="360" w:lineRule="auto"/>
        <w:jc w:val="center"/>
        <w:rPr>
          <w:rFonts w:hint="eastAsia" w:ascii="仿宋" w:hAnsi="仿宋" w:eastAsia="仿宋" w:cs="仿宋"/>
          <w:b/>
          <w:color w:val="auto"/>
          <w:sz w:val="24"/>
          <w:szCs w:val="24"/>
          <w:highlight w:val="none"/>
        </w:rPr>
      </w:pPr>
    </w:p>
    <w:p w14:paraId="6219CAFE">
      <w:pPr>
        <w:spacing w:line="360" w:lineRule="auto"/>
        <w:jc w:val="center"/>
        <w:rPr>
          <w:rFonts w:hint="eastAsia" w:ascii="仿宋" w:hAnsi="仿宋" w:eastAsia="仿宋" w:cs="仿宋"/>
          <w:b/>
          <w:color w:val="auto"/>
          <w:sz w:val="24"/>
          <w:szCs w:val="24"/>
          <w:highlight w:val="none"/>
        </w:rPr>
      </w:pPr>
    </w:p>
    <w:p w14:paraId="7E7A328D">
      <w:pPr>
        <w:spacing w:line="360" w:lineRule="auto"/>
        <w:jc w:val="center"/>
        <w:rPr>
          <w:rFonts w:hint="eastAsia" w:ascii="仿宋" w:hAnsi="仿宋" w:eastAsia="仿宋" w:cs="仿宋"/>
          <w:b/>
          <w:color w:val="auto"/>
          <w:sz w:val="24"/>
          <w:szCs w:val="24"/>
          <w:highlight w:val="none"/>
        </w:rPr>
      </w:pPr>
    </w:p>
    <w:p w14:paraId="7E9DC0C2">
      <w:pPr>
        <w:spacing w:line="360" w:lineRule="auto"/>
        <w:jc w:val="center"/>
        <w:rPr>
          <w:rFonts w:hint="eastAsia" w:ascii="仿宋" w:hAnsi="仿宋" w:eastAsia="仿宋" w:cs="仿宋"/>
          <w:b/>
          <w:color w:val="auto"/>
          <w:sz w:val="24"/>
          <w:szCs w:val="24"/>
          <w:highlight w:val="none"/>
        </w:rPr>
      </w:pPr>
    </w:p>
    <w:p w14:paraId="26DA9C67">
      <w:pPr>
        <w:spacing w:line="360" w:lineRule="auto"/>
        <w:jc w:val="center"/>
        <w:rPr>
          <w:rFonts w:hint="eastAsia" w:ascii="仿宋" w:hAnsi="仿宋" w:eastAsia="仿宋" w:cs="仿宋"/>
          <w:b/>
          <w:color w:val="auto"/>
          <w:sz w:val="24"/>
          <w:szCs w:val="24"/>
          <w:highlight w:val="none"/>
        </w:rPr>
      </w:pPr>
    </w:p>
    <w:p w14:paraId="697E84ED">
      <w:pPr>
        <w:spacing w:line="360" w:lineRule="auto"/>
        <w:jc w:val="center"/>
        <w:rPr>
          <w:rFonts w:hint="eastAsia" w:ascii="仿宋" w:hAnsi="仿宋" w:eastAsia="仿宋" w:cs="仿宋"/>
          <w:b/>
          <w:color w:val="auto"/>
          <w:sz w:val="24"/>
          <w:szCs w:val="24"/>
          <w:highlight w:val="none"/>
        </w:rPr>
      </w:pPr>
    </w:p>
    <w:p w14:paraId="3F9F267D">
      <w:pPr>
        <w:spacing w:line="360" w:lineRule="auto"/>
        <w:jc w:val="center"/>
        <w:rPr>
          <w:rFonts w:hint="eastAsia" w:ascii="仿宋" w:hAnsi="仿宋" w:eastAsia="仿宋" w:cs="仿宋"/>
          <w:b/>
          <w:color w:val="auto"/>
          <w:sz w:val="24"/>
          <w:szCs w:val="24"/>
          <w:highlight w:val="none"/>
        </w:rPr>
      </w:pPr>
    </w:p>
    <w:p w14:paraId="500BDBE7">
      <w:pPr>
        <w:spacing w:line="360" w:lineRule="auto"/>
        <w:jc w:val="center"/>
        <w:rPr>
          <w:rFonts w:hint="eastAsia" w:ascii="仿宋" w:hAnsi="仿宋" w:eastAsia="仿宋" w:cs="仿宋"/>
          <w:b/>
          <w:color w:val="auto"/>
          <w:sz w:val="24"/>
          <w:szCs w:val="24"/>
          <w:highlight w:val="none"/>
        </w:rPr>
      </w:pPr>
    </w:p>
    <w:p w14:paraId="0CDD95B4">
      <w:pPr>
        <w:spacing w:line="360" w:lineRule="auto"/>
        <w:jc w:val="center"/>
        <w:rPr>
          <w:rFonts w:hint="eastAsia" w:ascii="仿宋" w:hAnsi="仿宋" w:eastAsia="仿宋" w:cs="仿宋"/>
          <w:b/>
          <w:color w:val="auto"/>
          <w:sz w:val="24"/>
          <w:szCs w:val="24"/>
          <w:highlight w:val="none"/>
        </w:rPr>
      </w:pPr>
    </w:p>
    <w:p w14:paraId="7784EE00">
      <w:pPr>
        <w:spacing w:line="360" w:lineRule="auto"/>
        <w:jc w:val="center"/>
        <w:rPr>
          <w:rFonts w:hint="eastAsia" w:ascii="仿宋" w:hAnsi="仿宋" w:eastAsia="仿宋" w:cs="仿宋"/>
          <w:b/>
          <w:color w:val="auto"/>
          <w:sz w:val="24"/>
          <w:szCs w:val="24"/>
          <w:highlight w:val="none"/>
        </w:rPr>
      </w:pPr>
    </w:p>
    <w:p w14:paraId="78C58F7D">
      <w:pPr>
        <w:numPr>
          <w:ilvl w:val="0"/>
          <w:numId w:val="0"/>
        </w:numPr>
        <w:spacing w:line="360" w:lineRule="auto"/>
        <w:jc w:val="both"/>
        <w:rPr>
          <w:rFonts w:hint="eastAsia" w:ascii="仿宋" w:hAnsi="仿宋" w:eastAsia="仿宋" w:cs="仿宋"/>
          <w:b/>
          <w:color w:val="auto"/>
          <w:sz w:val="24"/>
          <w:szCs w:val="24"/>
          <w:highlight w:val="none"/>
          <w:lang w:val="en-US" w:eastAsia="zh-CN"/>
        </w:rPr>
      </w:pPr>
    </w:p>
    <w:p w14:paraId="6FC75B6E">
      <w:pPr>
        <w:numPr>
          <w:ilvl w:val="0"/>
          <w:numId w:val="0"/>
        </w:num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十、</w:t>
      </w:r>
      <w:r>
        <w:rPr>
          <w:rFonts w:hint="eastAsia" w:ascii="仿宋" w:hAnsi="仿宋" w:eastAsia="仿宋" w:cs="仿宋"/>
          <w:b/>
          <w:color w:val="auto"/>
          <w:sz w:val="24"/>
          <w:szCs w:val="24"/>
          <w:highlight w:val="none"/>
        </w:rPr>
        <w:t>资格审查文件</w:t>
      </w:r>
    </w:p>
    <w:p w14:paraId="41E1212D">
      <w:pPr>
        <w:numPr>
          <w:ilvl w:val="-1"/>
          <w:numId w:val="0"/>
        </w:numPr>
        <w:spacing w:line="600" w:lineRule="exact"/>
        <w:jc w:val="both"/>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1、道路运输经营许可证(需加盖公章)</w:t>
      </w:r>
    </w:p>
    <w:p w14:paraId="7196A7A8">
      <w:pPr>
        <w:numPr>
          <w:ilvl w:val="-1"/>
          <w:numId w:val="0"/>
        </w:numPr>
        <w:spacing w:line="600" w:lineRule="exact"/>
        <w:rPr>
          <w:rFonts w:hint="eastAsia" w:ascii="仿宋" w:hAnsi="仿宋" w:eastAsia="仿宋" w:cs="仿宋"/>
          <w:color w:val="auto"/>
          <w:sz w:val="24"/>
          <w:szCs w:val="24"/>
          <w:highlight w:val="none"/>
        </w:rPr>
      </w:pPr>
      <w:r>
        <w:rPr>
          <w:rFonts w:hint="eastAsia" w:ascii="仿宋" w:hAnsi="仿宋" w:eastAsia="仿宋" w:cs="仿宋"/>
          <w:b w:val="0"/>
          <w:bCs/>
          <w:color w:val="auto"/>
          <w:sz w:val="24"/>
          <w:szCs w:val="24"/>
          <w:highlight w:val="none"/>
          <w:lang w:val="en-US" w:eastAsia="zh-CN"/>
        </w:rPr>
        <w:t>2、</w:t>
      </w:r>
      <w:r>
        <w:rPr>
          <w:rFonts w:hint="eastAsia" w:ascii="仿宋" w:hAnsi="仿宋" w:eastAsia="仿宋" w:cs="仿宋"/>
          <w:color w:val="auto"/>
          <w:sz w:val="24"/>
          <w:szCs w:val="24"/>
          <w:highlight w:val="none"/>
        </w:rPr>
        <w:t>竞价人自有产权车辆清单表(需加盖公章)</w:t>
      </w:r>
    </w:p>
    <w:p w14:paraId="5DDE8356">
      <w:pPr>
        <w:pStyle w:val="55"/>
        <w:numPr>
          <w:ilvl w:val="0"/>
          <w:numId w:val="0"/>
        </w:numPr>
        <w:ind w:left="0" w:leftChars="0" w:firstLine="0" w:firstLineChars="0"/>
        <w:rPr>
          <w:rFonts w:hint="eastAsia" w:ascii="仿宋" w:hAnsi="仿宋" w:eastAsia="仿宋" w:cs="仿宋"/>
          <w:color w:val="auto"/>
          <w:sz w:val="24"/>
          <w:szCs w:val="24"/>
          <w:highlight w:val="none"/>
        </w:rPr>
      </w:pPr>
    </w:p>
    <w:p w14:paraId="6F224B41">
      <w:pPr>
        <w:pStyle w:val="55"/>
        <w:numPr>
          <w:ilvl w:val="0"/>
          <w:numId w:val="0"/>
        </w:numPr>
        <w:ind w:left="0" w:leftChars="0" w:firstLine="0" w:firstLineChars="0"/>
        <w:rPr>
          <w:rFonts w:hint="eastAsia" w:ascii="仿宋" w:hAnsi="仿宋" w:eastAsia="仿宋" w:cs="仿宋"/>
          <w:color w:val="auto"/>
          <w:sz w:val="24"/>
          <w:szCs w:val="24"/>
          <w:highlight w:val="none"/>
        </w:rPr>
      </w:pPr>
    </w:p>
    <w:p w14:paraId="1CB69E8C">
      <w:pPr>
        <w:pStyle w:val="55"/>
        <w:numPr>
          <w:ilvl w:val="0"/>
          <w:numId w:val="0"/>
        </w:numPr>
        <w:ind w:left="0" w:leftChars="0" w:firstLine="0" w:firstLineChars="0"/>
        <w:rPr>
          <w:rFonts w:hint="eastAsia" w:ascii="仿宋" w:hAnsi="仿宋" w:eastAsia="仿宋" w:cs="仿宋"/>
          <w:color w:val="auto"/>
          <w:sz w:val="24"/>
          <w:szCs w:val="24"/>
          <w:highlight w:val="none"/>
        </w:rPr>
      </w:pPr>
    </w:p>
    <w:p w14:paraId="506F9B81">
      <w:pPr>
        <w:pStyle w:val="55"/>
        <w:numPr>
          <w:ilvl w:val="0"/>
          <w:numId w:val="0"/>
        </w:numPr>
        <w:ind w:left="0" w:leftChars="0" w:firstLine="0" w:firstLineChars="0"/>
        <w:rPr>
          <w:rFonts w:hint="eastAsia" w:ascii="仿宋" w:hAnsi="仿宋" w:eastAsia="仿宋" w:cs="仿宋"/>
          <w:color w:val="auto"/>
          <w:sz w:val="24"/>
          <w:szCs w:val="24"/>
          <w:highlight w:val="none"/>
        </w:rPr>
      </w:pPr>
    </w:p>
    <w:p w14:paraId="266C9611">
      <w:pPr>
        <w:pStyle w:val="55"/>
        <w:numPr>
          <w:ilvl w:val="0"/>
          <w:numId w:val="0"/>
        </w:numPr>
        <w:ind w:left="0" w:leftChars="0" w:firstLine="0" w:firstLineChars="0"/>
        <w:rPr>
          <w:rFonts w:hint="eastAsia" w:ascii="仿宋" w:hAnsi="仿宋" w:eastAsia="仿宋" w:cs="仿宋"/>
          <w:color w:val="auto"/>
          <w:sz w:val="24"/>
          <w:szCs w:val="24"/>
          <w:highlight w:val="none"/>
        </w:rPr>
      </w:pPr>
    </w:p>
    <w:p w14:paraId="76D5D055">
      <w:pPr>
        <w:pStyle w:val="55"/>
        <w:numPr>
          <w:ilvl w:val="0"/>
          <w:numId w:val="0"/>
        </w:numPr>
        <w:ind w:leftChars="0"/>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十一、响应文件</w:t>
      </w:r>
    </w:p>
    <w:p w14:paraId="24335977">
      <w:pPr>
        <w:pStyle w:val="55"/>
        <w:numPr>
          <w:ilvl w:val="-1"/>
          <w:numId w:val="0"/>
        </w:numPr>
        <w:spacing w:line="600" w:lineRule="exact"/>
        <w:ind w:left="0" w:leftChars="0" w:firstLine="0" w:firstLineChars="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1、投标文件封面(需加盖公章)</w:t>
      </w:r>
    </w:p>
    <w:p w14:paraId="100F1D04">
      <w:pPr>
        <w:pStyle w:val="55"/>
        <w:numPr>
          <w:ilvl w:val="-1"/>
          <w:numId w:val="0"/>
        </w:numPr>
        <w:spacing w:line="600" w:lineRule="exact"/>
        <w:ind w:left="0" w:leftChars="0" w:firstLine="0" w:firstLineChars="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2、法定代表人身份证明书</w:t>
      </w:r>
    </w:p>
    <w:p w14:paraId="768F97F9">
      <w:pPr>
        <w:pStyle w:val="55"/>
        <w:numPr>
          <w:ilvl w:val="-1"/>
          <w:numId w:val="0"/>
        </w:numPr>
        <w:spacing w:line="600" w:lineRule="exact"/>
        <w:ind w:left="0" w:leftChars="0" w:firstLine="0" w:firstLineChars="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3、投标文件签署授权委托书（详见询比采购文件）</w:t>
      </w:r>
    </w:p>
    <w:p w14:paraId="1C8D92F5">
      <w:pPr>
        <w:pStyle w:val="55"/>
        <w:numPr>
          <w:ilvl w:val="-1"/>
          <w:numId w:val="0"/>
        </w:numPr>
        <w:spacing w:line="600" w:lineRule="exact"/>
        <w:ind w:left="0" w:leftChars="0" w:firstLine="0" w:firstLineChars="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4、企业营业执照复印件(需加盖公章)</w:t>
      </w:r>
    </w:p>
    <w:p w14:paraId="194BB16F">
      <w:pPr>
        <w:pStyle w:val="55"/>
        <w:numPr>
          <w:ilvl w:val="-1"/>
          <w:numId w:val="0"/>
        </w:numPr>
        <w:spacing w:line="600" w:lineRule="exact"/>
        <w:ind w:left="0" w:leftChars="0" w:firstLine="0" w:firstLineChars="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5、投标廉洁承诺书（详见询比采购文件）</w:t>
      </w:r>
    </w:p>
    <w:p w14:paraId="696FE31A">
      <w:pPr>
        <w:pStyle w:val="55"/>
        <w:numPr>
          <w:ilvl w:val="-1"/>
          <w:numId w:val="0"/>
        </w:numPr>
        <w:spacing w:line="600" w:lineRule="exact"/>
        <w:ind w:left="0" w:leftChars="0" w:firstLine="0" w:firstLineChars="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6、投标报价表（详见询比采购文件）</w:t>
      </w:r>
    </w:p>
    <w:p w14:paraId="32B3F279">
      <w:pPr>
        <w:pStyle w:val="55"/>
        <w:numPr>
          <w:ilvl w:val="0"/>
          <w:numId w:val="0"/>
        </w:numPr>
        <w:ind w:left="0" w:leftChars="0" w:firstLine="0" w:firstLineChars="0"/>
        <w:jc w:val="center"/>
        <w:rPr>
          <w:rFonts w:hint="eastAsia" w:ascii="仿宋" w:hAnsi="仿宋" w:eastAsia="仿宋" w:cs="仿宋"/>
          <w:b/>
          <w:bCs/>
          <w:color w:val="auto"/>
          <w:sz w:val="24"/>
          <w:szCs w:val="24"/>
          <w:highlight w:val="none"/>
          <w:lang w:val="en-US" w:eastAsia="zh-CN"/>
        </w:rPr>
      </w:pPr>
    </w:p>
    <w:p w14:paraId="564D53BB">
      <w:pPr>
        <w:spacing w:line="360" w:lineRule="auto"/>
        <w:jc w:val="center"/>
        <w:rPr>
          <w:rFonts w:hint="eastAsia" w:ascii="仿宋" w:hAnsi="仿宋" w:eastAsia="仿宋" w:cs="仿宋"/>
          <w:b/>
          <w:color w:val="auto"/>
          <w:sz w:val="24"/>
          <w:szCs w:val="24"/>
          <w:highlight w:val="none"/>
        </w:rPr>
      </w:pPr>
    </w:p>
    <w:p w14:paraId="165FBE1E">
      <w:pPr>
        <w:spacing w:line="360" w:lineRule="auto"/>
        <w:jc w:val="center"/>
        <w:rPr>
          <w:rFonts w:hint="eastAsia" w:ascii="仿宋" w:hAnsi="仿宋" w:eastAsia="仿宋" w:cs="仿宋"/>
          <w:b/>
          <w:color w:val="auto"/>
          <w:sz w:val="24"/>
          <w:szCs w:val="24"/>
          <w:highlight w:val="none"/>
        </w:rPr>
      </w:pPr>
    </w:p>
    <w:p w14:paraId="155E99A2">
      <w:pPr>
        <w:spacing w:line="360" w:lineRule="auto"/>
        <w:jc w:val="center"/>
        <w:rPr>
          <w:rFonts w:hint="eastAsia" w:ascii="仿宋" w:hAnsi="仿宋" w:eastAsia="仿宋" w:cs="仿宋"/>
          <w:b/>
          <w:color w:val="auto"/>
          <w:sz w:val="24"/>
          <w:szCs w:val="24"/>
          <w:highlight w:val="none"/>
        </w:rPr>
      </w:pPr>
    </w:p>
    <w:p w14:paraId="4DBDDAAC">
      <w:pPr>
        <w:spacing w:line="360" w:lineRule="auto"/>
        <w:jc w:val="center"/>
        <w:rPr>
          <w:rFonts w:hint="eastAsia" w:ascii="仿宋" w:hAnsi="仿宋" w:eastAsia="仿宋" w:cs="仿宋"/>
          <w:b/>
          <w:color w:val="auto"/>
          <w:sz w:val="24"/>
          <w:szCs w:val="24"/>
          <w:highlight w:val="none"/>
        </w:rPr>
      </w:pPr>
    </w:p>
    <w:p w14:paraId="48F4178D">
      <w:pPr>
        <w:spacing w:line="360" w:lineRule="auto"/>
        <w:jc w:val="center"/>
        <w:rPr>
          <w:rFonts w:hint="eastAsia" w:ascii="仿宋" w:hAnsi="仿宋" w:eastAsia="仿宋" w:cs="仿宋"/>
          <w:b/>
          <w:color w:val="auto"/>
          <w:sz w:val="24"/>
          <w:szCs w:val="24"/>
          <w:highlight w:val="none"/>
        </w:rPr>
      </w:pPr>
    </w:p>
    <w:p w14:paraId="7D66687B">
      <w:pPr>
        <w:spacing w:line="360" w:lineRule="auto"/>
        <w:jc w:val="center"/>
        <w:rPr>
          <w:rFonts w:hint="eastAsia" w:ascii="仿宋" w:hAnsi="仿宋" w:eastAsia="仿宋" w:cs="仿宋"/>
          <w:b/>
          <w:color w:val="auto"/>
          <w:sz w:val="24"/>
          <w:szCs w:val="24"/>
          <w:highlight w:val="none"/>
        </w:rPr>
      </w:pPr>
    </w:p>
    <w:p w14:paraId="06D644D6">
      <w:pPr>
        <w:spacing w:line="360" w:lineRule="auto"/>
        <w:jc w:val="center"/>
        <w:rPr>
          <w:rFonts w:hint="eastAsia" w:ascii="仿宋" w:hAnsi="仿宋" w:eastAsia="仿宋" w:cs="仿宋"/>
          <w:b/>
          <w:color w:val="auto"/>
          <w:sz w:val="24"/>
          <w:szCs w:val="24"/>
          <w:highlight w:val="none"/>
        </w:rPr>
      </w:pPr>
    </w:p>
    <w:p w14:paraId="4F3FE1B9">
      <w:pPr>
        <w:spacing w:line="360" w:lineRule="auto"/>
        <w:jc w:val="center"/>
        <w:rPr>
          <w:rFonts w:hint="eastAsia" w:ascii="仿宋" w:hAnsi="仿宋" w:eastAsia="仿宋" w:cs="仿宋"/>
          <w:b/>
          <w:color w:val="auto"/>
          <w:sz w:val="24"/>
          <w:szCs w:val="24"/>
          <w:highlight w:val="none"/>
        </w:rPr>
      </w:pPr>
    </w:p>
    <w:p w14:paraId="1CF09C54">
      <w:pPr>
        <w:spacing w:line="360" w:lineRule="auto"/>
        <w:jc w:val="center"/>
        <w:rPr>
          <w:rFonts w:hint="eastAsia" w:ascii="仿宋" w:hAnsi="仿宋" w:eastAsia="仿宋" w:cs="仿宋"/>
          <w:b/>
          <w:color w:val="auto"/>
          <w:sz w:val="24"/>
          <w:szCs w:val="24"/>
          <w:highlight w:val="none"/>
        </w:rPr>
      </w:pPr>
    </w:p>
    <w:p w14:paraId="1BD41AEC">
      <w:pPr>
        <w:spacing w:line="360" w:lineRule="auto"/>
        <w:jc w:val="center"/>
        <w:rPr>
          <w:rFonts w:hint="eastAsia" w:ascii="仿宋" w:hAnsi="仿宋" w:eastAsia="仿宋" w:cs="仿宋"/>
          <w:b/>
          <w:color w:val="auto"/>
          <w:sz w:val="24"/>
          <w:szCs w:val="24"/>
          <w:highlight w:val="none"/>
        </w:rPr>
      </w:pPr>
    </w:p>
    <w:p w14:paraId="2B2A1A93">
      <w:pPr>
        <w:spacing w:line="360" w:lineRule="auto"/>
        <w:jc w:val="both"/>
        <w:rPr>
          <w:rFonts w:hint="eastAsia" w:ascii="仿宋" w:hAnsi="仿宋" w:eastAsia="仿宋" w:cs="仿宋"/>
          <w:b/>
          <w:color w:val="auto"/>
          <w:sz w:val="24"/>
          <w:szCs w:val="24"/>
          <w:highlight w:val="none"/>
        </w:rPr>
      </w:pPr>
    </w:p>
    <w:p w14:paraId="4DAB044D">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二</w:t>
      </w:r>
      <w:r>
        <w:rPr>
          <w:rFonts w:hint="eastAsia" w:ascii="仿宋" w:hAnsi="仿宋" w:eastAsia="仿宋" w:cs="仿宋"/>
          <w:b/>
          <w:color w:val="auto"/>
          <w:sz w:val="24"/>
          <w:szCs w:val="24"/>
          <w:highlight w:val="none"/>
        </w:rPr>
        <w:t>、法定代表人授权书</w:t>
      </w:r>
    </w:p>
    <w:p w14:paraId="78925DD1">
      <w:pPr>
        <w:spacing w:line="360" w:lineRule="auto"/>
        <w:jc w:val="center"/>
        <w:rPr>
          <w:rFonts w:hint="eastAsia" w:ascii="仿宋" w:hAnsi="仿宋" w:eastAsia="仿宋" w:cs="仿宋"/>
          <w:b/>
          <w:color w:val="auto"/>
          <w:sz w:val="24"/>
          <w:szCs w:val="24"/>
          <w:highlight w:val="none"/>
        </w:rPr>
      </w:pPr>
    </w:p>
    <w:p w14:paraId="1A6413CB">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本授权书声明：我</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w:t>
      </w:r>
      <w:r>
        <w:rPr>
          <w:rFonts w:hint="eastAsia" w:ascii="仿宋" w:hAnsi="仿宋" w:eastAsia="仿宋" w:cs="仿宋"/>
          <w:color w:val="auto"/>
          <w:sz w:val="24"/>
          <w:szCs w:val="24"/>
          <w:highlight w:val="none"/>
        </w:rPr>
        <w:t>的法定代表人，现授权委托</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（单位名称）（被授权委托人姓名 ）</w:t>
      </w:r>
      <w:r>
        <w:rPr>
          <w:rFonts w:hint="eastAsia" w:ascii="仿宋" w:hAnsi="仿宋" w:eastAsia="仿宋" w:cs="仿宋"/>
          <w:color w:val="auto"/>
          <w:sz w:val="24"/>
          <w:szCs w:val="24"/>
          <w:highlight w:val="none"/>
        </w:rPr>
        <w:t>为本公司合法代表人，就</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 xml:space="preserve">，以本公司名义处理一切与之有关的事务。 </w:t>
      </w:r>
    </w:p>
    <w:p w14:paraId="11E85F14">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721659C0">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日签字生效， 特此声明。 </w:t>
      </w:r>
    </w:p>
    <w:p w14:paraId="083088EB">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2992EE9E">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代理人情况：</w:t>
      </w:r>
    </w:p>
    <w:p w14:paraId="50211E80">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6514EBED">
      <w:pPr>
        <w:spacing w:before="156" w:beforeLines="50" w:after="156" w:afterLines="50" w:line="360" w:lineRule="auto"/>
        <w:ind w:firstLine="490" w:firstLineChars="200"/>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姓名：</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职务/职称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057DA433">
      <w:pPr>
        <w:spacing w:before="156" w:beforeLines="50" w:after="156" w:afterLines="50" w:line="360" w:lineRule="auto"/>
        <w:ind w:firstLine="49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邮编：</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4A58ACBF">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传真：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1D148604">
      <w:pPr>
        <w:spacing w:before="156" w:beforeLines="50" w:after="156" w:afterLines="50" w:line="360" w:lineRule="auto"/>
        <w:rPr>
          <w:rFonts w:hint="eastAsia" w:ascii="仿宋" w:hAnsi="仿宋" w:eastAsia="仿宋" w:cs="仿宋"/>
          <w:color w:val="auto"/>
          <w:sz w:val="24"/>
          <w:szCs w:val="24"/>
          <w:highlight w:val="none"/>
        </w:rPr>
      </w:pPr>
    </w:p>
    <w:p w14:paraId="642B62A4">
      <w:pPr>
        <w:spacing w:before="156" w:beforeLines="50" w:after="156" w:afterLines="50" w:line="360" w:lineRule="auto"/>
        <w:ind w:firstLine="4165" w:firstLineChars="1700"/>
        <w:rPr>
          <w:rFonts w:hint="eastAsia" w:ascii="仿宋" w:hAnsi="仿宋" w:eastAsia="仿宋" w:cs="仿宋"/>
          <w:color w:val="auto"/>
          <w:sz w:val="24"/>
          <w:szCs w:val="24"/>
          <w:highlight w:val="none"/>
        </w:rPr>
      </w:pPr>
    </w:p>
    <w:p w14:paraId="1602FFA1">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法定代表人签字：</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 </w:t>
      </w:r>
    </w:p>
    <w:p w14:paraId="4992C16B">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124A2D1B">
      <w:pPr>
        <w:spacing w:before="156" w:beforeLines="50" w:after="156" w:afterLines="50" w:line="360" w:lineRule="auto"/>
        <w:ind w:firstLine="6370" w:firstLineChars="26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年   月   日</w:t>
      </w:r>
    </w:p>
    <w:p w14:paraId="587EE2DD">
      <w:pPr>
        <w:spacing w:line="360" w:lineRule="auto"/>
        <w:jc w:val="center"/>
        <w:rPr>
          <w:rFonts w:hint="eastAsia" w:ascii="仿宋" w:hAnsi="仿宋" w:eastAsia="仿宋" w:cs="仿宋"/>
          <w:b/>
          <w:color w:val="auto"/>
          <w:sz w:val="24"/>
          <w:szCs w:val="24"/>
          <w:highlight w:val="none"/>
        </w:rPr>
      </w:pPr>
    </w:p>
    <w:p w14:paraId="57F0A21E">
      <w:pPr>
        <w:spacing w:line="360" w:lineRule="auto"/>
        <w:jc w:val="center"/>
        <w:rPr>
          <w:rFonts w:hint="eastAsia" w:ascii="仿宋" w:hAnsi="仿宋" w:eastAsia="仿宋" w:cs="仿宋"/>
          <w:b/>
          <w:color w:val="auto"/>
          <w:sz w:val="24"/>
          <w:szCs w:val="24"/>
          <w:highlight w:val="none"/>
        </w:rPr>
      </w:pPr>
    </w:p>
    <w:p w14:paraId="1933A091">
      <w:pPr>
        <w:spacing w:line="360" w:lineRule="auto"/>
        <w:jc w:val="center"/>
        <w:rPr>
          <w:rFonts w:hint="eastAsia" w:ascii="仿宋" w:hAnsi="仿宋" w:eastAsia="仿宋" w:cs="仿宋"/>
          <w:b/>
          <w:color w:val="auto"/>
          <w:sz w:val="24"/>
          <w:szCs w:val="24"/>
          <w:highlight w:val="none"/>
        </w:rPr>
      </w:pPr>
    </w:p>
    <w:p w14:paraId="27817FB6">
      <w:pPr>
        <w:spacing w:line="360" w:lineRule="auto"/>
        <w:jc w:val="center"/>
        <w:rPr>
          <w:rFonts w:hint="eastAsia" w:ascii="仿宋" w:hAnsi="仿宋" w:eastAsia="仿宋" w:cs="仿宋"/>
          <w:b/>
          <w:color w:val="auto"/>
          <w:sz w:val="24"/>
          <w:szCs w:val="24"/>
          <w:highlight w:val="none"/>
        </w:rPr>
      </w:pPr>
    </w:p>
    <w:p w14:paraId="4AF51946">
      <w:pPr>
        <w:spacing w:line="360" w:lineRule="auto"/>
        <w:jc w:val="center"/>
        <w:rPr>
          <w:rFonts w:hint="eastAsia" w:ascii="仿宋" w:hAnsi="仿宋" w:eastAsia="仿宋" w:cs="仿宋"/>
          <w:b/>
          <w:color w:val="auto"/>
          <w:sz w:val="24"/>
          <w:szCs w:val="24"/>
          <w:highlight w:val="none"/>
        </w:rPr>
      </w:pPr>
    </w:p>
    <w:p w14:paraId="0D8BD80D">
      <w:pPr>
        <w:spacing w:line="360" w:lineRule="auto"/>
        <w:jc w:val="both"/>
        <w:rPr>
          <w:rFonts w:hint="eastAsia" w:ascii="仿宋" w:hAnsi="仿宋" w:eastAsia="仿宋" w:cs="仿宋"/>
          <w:b/>
          <w:color w:val="auto"/>
          <w:sz w:val="24"/>
          <w:szCs w:val="24"/>
          <w:highlight w:val="none"/>
        </w:rPr>
      </w:pPr>
    </w:p>
    <w:p w14:paraId="2E0BEE0E">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三</w:t>
      </w:r>
      <w:r>
        <w:rPr>
          <w:rFonts w:hint="eastAsia" w:ascii="仿宋" w:hAnsi="仿宋" w:eastAsia="仿宋" w:cs="仿宋"/>
          <w:b/>
          <w:color w:val="auto"/>
          <w:sz w:val="24"/>
          <w:szCs w:val="24"/>
          <w:highlight w:val="none"/>
        </w:rPr>
        <w:t>、廉洁</w:t>
      </w:r>
      <w:r>
        <w:rPr>
          <w:rFonts w:hint="eastAsia" w:ascii="仿宋" w:hAnsi="仿宋" w:eastAsia="仿宋" w:cs="仿宋"/>
          <w:b/>
          <w:bCs/>
          <w:color w:val="auto"/>
          <w:sz w:val="24"/>
          <w:szCs w:val="24"/>
          <w:highlight w:val="none"/>
        </w:rPr>
        <w:t>承诺书</w:t>
      </w:r>
    </w:p>
    <w:p w14:paraId="39E7F372">
      <w:pPr>
        <w:spacing w:line="360" w:lineRule="auto"/>
        <w:ind w:firstLine="490" w:firstLineChars="200"/>
        <w:rPr>
          <w:rFonts w:hint="eastAsia" w:ascii="仿宋" w:hAnsi="仿宋" w:eastAsia="仿宋" w:cs="仿宋"/>
          <w:color w:val="auto"/>
          <w:sz w:val="24"/>
          <w:szCs w:val="24"/>
          <w:highlight w:val="none"/>
        </w:rPr>
      </w:pPr>
    </w:p>
    <w:p w14:paraId="48D92E44">
      <w:pPr>
        <w:spacing w:line="360" w:lineRule="auto"/>
        <w:ind w:firstLine="49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我单位于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，为加强</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rPr>
        <w:t>管理和廉政建设，防止发生各种谋取不正当利益的违法违纪行为、规范双方的各项活动，保护当事人及所属公司的合法权益，供方承诺：</w:t>
      </w:r>
    </w:p>
    <w:p w14:paraId="6B0B8EEC">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人串通；</w:t>
      </w:r>
    </w:p>
    <w:p w14:paraId="024FD077">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不向</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人或</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46AC4A28">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62E524B1">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承诺不向</w:t>
      </w:r>
      <w:r>
        <w:rPr>
          <w:rFonts w:hint="eastAsia" w:ascii="仿宋" w:hAnsi="仿宋" w:eastAsia="仿宋" w:cs="仿宋"/>
          <w:color w:val="auto"/>
          <w:sz w:val="24"/>
          <w:szCs w:val="24"/>
          <w:highlight w:val="none"/>
          <w:lang w:eastAsia="zh-CN"/>
        </w:rPr>
        <w:t>询比采购人</w:t>
      </w:r>
      <w:r>
        <w:rPr>
          <w:rFonts w:hint="eastAsia" w:ascii="仿宋" w:hAnsi="仿宋" w:eastAsia="仿宋" w:cs="仿宋"/>
          <w:color w:val="auto"/>
          <w:sz w:val="24"/>
          <w:szCs w:val="24"/>
          <w:highlight w:val="none"/>
        </w:rPr>
        <w:t>及有关人员提供任何形式的财、物及请吃消费；</w:t>
      </w:r>
    </w:p>
    <w:p w14:paraId="1E9428D3">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承诺保证</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供应的数量、安全及环保符合贵公司要求。如果由于</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本身的数量、质量及</w:t>
      </w:r>
      <w:r>
        <w:rPr>
          <w:rFonts w:hint="eastAsia" w:ascii="仿宋" w:hAnsi="仿宋" w:eastAsia="仿宋" w:cs="仿宋"/>
          <w:color w:val="auto"/>
          <w:sz w:val="24"/>
          <w:szCs w:val="24"/>
          <w:highlight w:val="none"/>
          <w:lang w:val="en-US" w:eastAsia="zh-CN"/>
        </w:rPr>
        <w:t>进场</w:t>
      </w:r>
      <w:r>
        <w:rPr>
          <w:rFonts w:hint="eastAsia" w:ascii="仿宋" w:hAnsi="仿宋" w:eastAsia="仿宋" w:cs="仿宋"/>
          <w:color w:val="auto"/>
          <w:sz w:val="24"/>
          <w:szCs w:val="24"/>
          <w:highlight w:val="none"/>
        </w:rPr>
        <w:t>等问题而导致贵公司生产、施工发生工期延误等情况，所造成的相应直接、间接损失由我方承担，我方接受贵公司相应处罚，情节严重的愿承担相关法律责任。</w:t>
      </w:r>
    </w:p>
    <w:p w14:paraId="3896ADAE">
      <w:pPr>
        <w:spacing w:line="360" w:lineRule="auto"/>
        <w:ind w:firstLine="490" w:firstLineChars="200"/>
        <w:rPr>
          <w:rFonts w:hint="eastAsia" w:ascii="仿宋" w:hAnsi="仿宋" w:eastAsia="仿宋" w:cs="仿宋"/>
          <w:color w:val="auto"/>
          <w:sz w:val="24"/>
          <w:szCs w:val="24"/>
          <w:highlight w:val="none"/>
          <w:u w:val="single"/>
        </w:rPr>
      </w:pPr>
    </w:p>
    <w:p w14:paraId="50A60796">
      <w:pPr>
        <w:spacing w:line="360" w:lineRule="auto"/>
        <w:ind w:firstLine="4655" w:firstLineChars="1900"/>
        <w:rPr>
          <w:rFonts w:hint="eastAsia" w:ascii="仿宋" w:hAnsi="仿宋" w:eastAsia="仿宋" w:cs="仿宋"/>
          <w:color w:val="auto"/>
          <w:sz w:val="24"/>
          <w:szCs w:val="24"/>
          <w:highlight w:val="none"/>
        </w:rPr>
      </w:pPr>
    </w:p>
    <w:p w14:paraId="202D9625">
      <w:pPr>
        <w:spacing w:line="360" w:lineRule="auto"/>
        <w:ind w:firstLine="4410" w:firstLineChars="18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承诺方签字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single"/>
        </w:rPr>
        <w:t xml:space="preserve"> </w:t>
      </w:r>
    </w:p>
    <w:p w14:paraId="659FF597">
      <w:pPr>
        <w:spacing w:line="360" w:lineRule="auto"/>
        <w:ind w:firstLine="4410" w:firstLineChars="1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                    </w:t>
      </w:r>
    </w:p>
    <w:p w14:paraId="3E904E71">
      <w:pPr>
        <w:spacing w:line="360" w:lineRule="auto"/>
        <w:ind w:firstLine="1960" w:firstLineChars="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年   月   日</w:t>
      </w:r>
    </w:p>
    <w:p w14:paraId="3E5A5967">
      <w:pPr>
        <w:pStyle w:val="55"/>
        <w:rPr>
          <w:rFonts w:hint="eastAsia" w:ascii="仿宋" w:hAnsi="仿宋" w:eastAsia="仿宋" w:cs="仿宋"/>
          <w:color w:val="auto"/>
          <w:sz w:val="24"/>
          <w:szCs w:val="24"/>
          <w:highlight w:val="none"/>
        </w:rPr>
      </w:pPr>
    </w:p>
    <w:p w14:paraId="693A6FB6">
      <w:pPr>
        <w:pStyle w:val="55"/>
        <w:rPr>
          <w:rFonts w:hint="eastAsia" w:ascii="仿宋" w:hAnsi="仿宋" w:eastAsia="仿宋" w:cs="仿宋"/>
          <w:color w:val="auto"/>
          <w:sz w:val="24"/>
          <w:szCs w:val="24"/>
          <w:highlight w:val="none"/>
        </w:rPr>
      </w:pPr>
    </w:p>
    <w:p w14:paraId="193DBB7A">
      <w:pPr>
        <w:pStyle w:val="55"/>
        <w:rPr>
          <w:rFonts w:hint="eastAsia" w:ascii="仿宋" w:hAnsi="仿宋" w:eastAsia="仿宋" w:cs="仿宋"/>
          <w:color w:val="auto"/>
          <w:sz w:val="24"/>
          <w:szCs w:val="24"/>
          <w:highlight w:val="none"/>
        </w:rPr>
      </w:pPr>
    </w:p>
    <w:p w14:paraId="63DCA8C7">
      <w:pPr>
        <w:pStyle w:val="55"/>
        <w:rPr>
          <w:rFonts w:hint="eastAsia" w:ascii="仿宋" w:hAnsi="仿宋" w:eastAsia="仿宋" w:cs="仿宋"/>
          <w:color w:val="auto"/>
          <w:sz w:val="24"/>
          <w:szCs w:val="24"/>
          <w:highlight w:val="none"/>
        </w:rPr>
      </w:pPr>
    </w:p>
    <w:p w14:paraId="281FD339">
      <w:pPr>
        <w:pStyle w:val="55"/>
        <w:rPr>
          <w:rFonts w:hint="eastAsia" w:ascii="仿宋" w:hAnsi="仿宋" w:eastAsia="仿宋" w:cs="仿宋"/>
          <w:color w:val="auto"/>
          <w:sz w:val="24"/>
          <w:szCs w:val="24"/>
          <w:highlight w:val="none"/>
        </w:rPr>
      </w:pPr>
    </w:p>
    <w:p w14:paraId="174DF786">
      <w:pPr>
        <w:pStyle w:val="55"/>
        <w:rPr>
          <w:rFonts w:hint="eastAsia" w:ascii="仿宋" w:hAnsi="仿宋" w:eastAsia="仿宋" w:cs="仿宋"/>
          <w:color w:val="auto"/>
          <w:sz w:val="24"/>
          <w:szCs w:val="24"/>
          <w:highlight w:val="none"/>
        </w:rPr>
      </w:pPr>
    </w:p>
    <w:p w14:paraId="31DA8C24">
      <w:pPr>
        <w:pStyle w:val="55"/>
        <w:rPr>
          <w:rFonts w:hint="eastAsia" w:ascii="仿宋" w:hAnsi="仿宋" w:eastAsia="仿宋" w:cs="仿宋"/>
          <w:color w:val="auto"/>
          <w:sz w:val="24"/>
          <w:szCs w:val="24"/>
          <w:highlight w:val="none"/>
        </w:rPr>
      </w:pPr>
    </w:p>
    <w:p w14:paraId="77010CC5">
      <w:pPr>
        <w:pStyle w:val="55"/>
        <w:rPr>
          <w:rFonts w:hint="eastAsia" w:ascii="仿宋" w:hAnsi="仿宋" w:eastAsia="仿宋" w:cs="仿宋"/>
          <w:color w:val="auto"/>
          <w:sz w:val="24"/>
          <w:szCs w:val="24"/>
          <w:highlight w:val="none"/>
        </w:rPr>
      </w:pPr>
    </w:p>
    <w:p w14:paraId="3616D87C">
      <w:pPr>
        <w:pStyle w:val="55"/>
        <w:rPr>
          <w:rFonts w:hint="eastAsia" w:ascii="仿宋" w:hAnsi="仿宋" w:eastAsia="仿宋" w:cs="仿宋"/>
          <w:color w:val="auto"/>
          <w:sz w:val="24"/>
          <w:szCs w:val="24"/>
          <w:highlight w:val="none"/>
        </w:rPr>
      </w:pPr>
    </w:p>
    <w:p w14:paraId="409B15E3">
      <w:pPr>
        <w:pStyle w:val="55"/>
        <w:rPr>
          <w:rFonts w:hint="eastAsia" w:ascii="仿宋" w:hAnsi="仿宋" w:eastAsia="仿宋" w:cs="仿宋"/>
          <w:color w:val="auto"/>
          <w:sz w:val="24"/>
          <w:szCs w:val="24"/>
          <w:highlight w:val="none"/>
        </w:rPr>
      </w:pPr>
    </w:p>
    <w:p w14:paraId="10D9974E">
      <w:pPr>
        <w:spacing w:line="270" w:lineRule="atLeast"/>
        <w:jc w:val="both"/>
        <w:outlineLvl w:val="1"/>
        <w:rPr>
          <w:rFonts w:hint="eastAsia" w:ascii="宋体" w:hAnsi="宋体" w:eastAsia="宋体" w:cs="宋体"/>
          <w:b/>
          <w:bCs/>
          <w:color w:val="auto"/>
          <w:spacing w:val="26"/>
          <w:sz w:val="28"/>
          <w:szCs w:val="28"/>
          <w:highlight w:val="none"/>
          <w:lang w:val="en-US" w:eastAsia="zh-CN"/>
        </w:rPr>
      </w:pPr>
      <w:bookmarkStart w:id="1" w:name="_Toc132638962"/>
    </w:p>
    <w:p w14:paraId="500182E9">
      <w:pPr>
        <w:numPr>
          <w:ilvl w:val="0"/>
          <w:numId w:val="5"/>
        </w:numPr>
        <w:spacing w:line="360" w:lineRule="auto"/>
        <w:jc w:val="center"/>
        <w:outlineLvl w:val="9"/>
        <w:rPr>
          <w:rFonts w:hint="eastAsia" w:ascii="仿宋" w:hAnsi="仿宋" w:eastAsia="仿宋" w:cs="仿宋"/>
          <w:b/>
          <w:bCs/>
          <w:color w:val="auto"/>
          <w:spacing w:val="0"/>
          <w:sz w:val="24"/>
          <w:szCs w:val="24"/>
          <w:highlight w:val="none"/>
        </w:rPr>
      </w:pPr>
      <w:r>
        <w:rPr>
          <w:rFonts w:hint="eastAsia" w:ascii="仿宋" w:hAnsi="仿宋" w:eastAsia="仿宋" w:cs="仿宋"/>
          <w:b/>
          <w:bCs/>
          <w:color w:val="auto"/>
          <w:spacing w:val="0"/>
          <w:sz w:val="24"/>
          <w:szCs w:val="24"/>
          <w:highlight w:val="none"/>
          <w:lang w:val="en-US" w:eastAsia="zh-CN"/>
        </w:rPr>
        <w:t>竞价人</w:t>
      </w:r>
      <w:r>
        <w:rPr>
          <w:rFonts w:hint="eastAsia" w:ascii="仿宋" w:hAnsi="仿宋" w:eastAsia="仿宋" w:cs="仿宋"/>
          <w:b/>
          <w:bCs/>
          <w:color w:val="auto"/>
          <w:spacing w:val="0"/>
          <w:sz w:val="24"/>
          <w:szCs w:val="24"/>
          <w:highlight w:val="none"/>
        </w:rPr>
        <w:t>自有产权车辆清单表</w:t>
      </w:r>
      <w:bookmarkEnd w:id="1"/>
    </w:p>
    <w:p w14:paraId="073B4072">
      <w:pPr>
        <w:numPr>
          <w:ilvl w:val="-1"/>
          <w:numId w:val="0"/>
        </w:numPr>
        <w:spacing w:line="240" w:lineRule="exact"/>
        <w:jc w:val="both"/>
        <w:outlineLvl w:val="9"/>
        <w:rPr>
          <w:rFonts w:hint="eastAsia" w:ascii="仿宋" w:hAnsi="仿宋" w:eastAsia="仿宋" w:cs="仿宋"/>
          <w:b/>
          <w:bCs/>
          <w:color w:val="auto"/>
          <w:sz w:val="24"/>
          <w:szCs w:val="24"/>
          <w:highlight w:val="none"/>
        </w:rPr>
      </w:pP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626"/>
        <w:gridCol w:w="1305"/>
        <w:gridCol w:w="1525"/>
        <w:gridCol w:w="1275"/>
        <w:gridCol w:w="1715"/>
      </w:tblGrid>
      <w:tr w14:paraId="60EB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4E06DAB2">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r>
              <w:rPr>
                <w:rFonts w:hint="eastAsia" w:ascii="楷体" w:hAnsi="楷体" w:eastAsia="楷体" w:cs="楷体"/>
                <w:color w:val="auto"/>
                <w:highlight w:val="none"/>
              </w:rPr>
              <w:t>序号</w:t>
            </w:r>
          </w:p>
        </w:tc>
        <w:tc>
          <w:tcPr>
            <w:tcW w:w="1626" w:type="dxa"/>
            <w:noWrap w:val="0"/>
            <w:vAlign w:val="center"/>
          </w:tcPr>
          <w:p w14:paraId="48DF0B9A">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r>
              <w:rPr>
                <w:rFonts w:hint="eastAsia" w:ascii="楷体" w:hAnsi="楷体" w:eastAsia="楷体" w:cs="楷体"/>
                <w:color w:val="auto"/>
                <w:highlight w:val="none"/>
              </w:rPr>
              <w:t>车辆类型</w:t>
            </w:r>
          </w:p>
        </w:tc>
        <w:tc>
          <w:tcPr>
            <w:tcW w:w="1305" w:type="dxa"/>
            <w:noWrap w:val="0"/>
            <w:vAlign w:val="center"/>
          </w:tcPr>
          <w:p w14:paraId="4E9004FE">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r>
              <w:rPr>
                <w:rFonts w:hint="eastAsia" w:ascii="楷体" w:hAnsi="楷体" w:eastAsia="楷体" w:cs="楷体"/>
                <w:color w:val="auto"/>
                <w:highlight w:val="none"/>
              </w:rPr>
              <w:t>使用性质</w:t>
            </w:r>
          </w:p>
        </w:tc>
        <w:tc>
          <w:tcPr>
            <w:tcW w:w="1525" w:type="dxa"/>
            <w:noWrap w:val="0"/>
            <w:vAlign w:val="center"/>
          </w:tcPr>
          <w:p w14:paraId="0792EAB3">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r>
              <w:rPr>
                <w:rFonts w:hint="eastAsia" w:ascii="楷体" w:hAnsi="楷体" w:eastAsia="楷体" w:cs="Times New Roman"/>
                <w:color w:val="auto"/>
                <w:highlight w:val="none"/>
              </w:rPr>
              <w:t>品牌型号</w:t>
            </w:r>
          </w:p>
        </w:tc>
        <w:tc>
          <w:tcPr>
            <w:tcW w:w="1275" w:type="dxa"/>
            <w:noWrap w:val="0"/>
            <w:vAlign w:val="center"/>
          </w:tcPr>
          <w:p w14:paraId="2EAABF29">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r>
              <w:rPr>
                <w:rFonts w:hint="eastAsia" w:ascii="楷体" w:hAnsi="楷体" w:eastAsia="楷体" w:cs="楷体"/>
                <w:color w:val="auto"/>
                <w:highlight w:val="none"/>
              </w:rPr>
              <w:t>车辆号码</w:t>
            </w:r>
          </w:p>
        </w:tc>
        <w:tc>
          <w:tcPr>
            <w:tcW w:w="1715" w:type="dxa"/>
            <w:noWrap w:val="0"/>
            <w:vAlign w:val="center"/>
          </w:tcPr>
          <w:p w14:paraId="37C69988">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r>
              <w:rPr>
                <w:rFonts w:hint="eastAsia" w:ascii="楷体" w:hAnsi="楷体" w:eastAsia="楷体" w:cs="楷体"/>
                <w:color w:val="auto"/>
                <w:highlight w:val="none"/>
              </w:rPr>
              <w:t>备</w:t>
            </w:r>
            <w:r>
              <w:rPr>
                <w:rFonts w:hint="eastAsia" w:ascii="楷体" w:hAnsi="楷体" w:eastAsia="楷体" w:cs="楷体"/>
                <w:color w:val="auto"/>
                <w:highlight w:val="none"/>
                <w:lang w:val="en-US" w:eastAsia="zh-CN"/>
              </w:rPr>
              <w:t xml:space="preserve">  </w:t>
            </w:r>
            <w:r>
              <w:rPr>
                <w:rFonts w:hint="eastAsia" w:ascii="楷体" w:hAnsi="楷体" w:eastAsia="楷体" w:cs="楷体"/>
                <w:color w:val="auto"/>
                <w:highlight w:val="none"/>
              </w:rPr>
              <w:t>注</w:t>
            </w:r>
          </w:p>
        </w:tc>
      </w:tr>
      <w:tr w14:paraId="3DEC0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118F79EA">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r>
              <w:rPr>
                <w:rFonts w:hint="default" w:ascii="楷体" w:hAnsi="楷体" w:eastAsia="楷体" w:cs="楷体"/>
                <w:color w:val="auto"/>
                <w:highlight w:val="none"/>
              </w:rPr>
              <w:t>1</w:t>
            </w:r>
          </w:p>
        </w:tc>
        <w:tc>
          <w:tcPr>
            <w:tcW w:w="1626" w:type="dxa"/>
            <w:noWrap w:val="0"/>
            <w:vAlign w:val="center"/>
          </w:tcPr>
          <w:p w14:paraId="7C7A12CB">
            <w:pPr>
              <w:keepNext w:val="0"/>
              <w:keepLines w:val="0"/>
              <w:suppressLineNumbers w:val="0"/>
              <w:spacing w:before="0" w:beforeAutospacing="0" w:after="0" w:afterAutospacing="0"/>
              <w:ind w:left="0" w:right="0"/>
              <w:jc w:val="center"/>
              <w:rPr>
                <w:rFonts w:hint="eastAsia" w:ascii="楷体" w:hAnsi="楷体" w:eastAsia="楷体" w:cs="楷体"/>
                <w:color w:val="auto"/>
                <w:highlight w:val="none"/>
                <w:lang w:val="en-US" w:eastAsia="zh-CN"/>
              </w:rPr>
            </w:pPr>
            <w:r>
              <w:rPr>
                <w:rFonts w:hint="eastAsia" w:ascii="楷体" w:hAnsi="楷体" w:eastAsia="楷体" w:cs="楷体"/>
                <w:color w:val="auto"/>
                <w:highlight w:val="none"/>
                <w:lang w:val="en-US" w:eastAsia="zh-CN"/>
              </w:rPr>
              <w:t>罐  车</w:t>
            </w:r>
          </w:p>
        </w:tc>
        <w:tc>
          <w:tcPr>
            <w:tcW w:w="1305" w:type="dxa"/>
            <w:noWrap w:val="0"/>
            <w:vAlign w:val="center"/>
          </w:tcPr>
          <w:p w14:paraId="6BFA54F8">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lang w:val="en-US" w:eastAsia="zh-CN"/>
              </w:rPr>
            </w:pPr>
            <w:r>
              <w:rPr>
                <w:rFonts w:hint="eastAsia" w:ascii="楷体" w:hAnsi="楷体" w:eastAsia="楷体" w:cs="楷体"/>
                <w:color w:val="auto"/>
                <w:highlight w:val="none"/>
                <w:lang w:val="en-US" w:eastAsia="zh-CN"/>
              </w:rPr>
              <w:t>商用</w:t>
            </w:r>
          </w:p>
        </w:tc>
        <w:tc>
          <w:tcPr>
            <w:tcW w:w="1525" w:type="dxa"/>
            <w:noWrap w:val="0"/>
            <w:vAlign w:val="center"/>
          </w:tcPr>
          <w:p w14:paraId="56682D0D">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lang w:val="en-US" w:eastAsia="zh-CN"/>
              </w:rPr>
            </w:pPr>
            <w:r>
              <w:rPr>
                <w:rFonts w:hint="eastAsia" w:ascii="楷体" w:hAnsi="楷体" w:eastAsia="楷体" w:cs="楷体"/>
                <w:color w:val="auto"/>
                <w:highlight w:val="none"/>
                <w:lang w:val="en-US" w:eastAsia="zh-CN"/>
              </w:rPr>
              <w:t>***</w:t>
            </w:r>
          </w:p>
        </w:tc>
        <w:tc>
          <w:tcPr>
            <w:tcW w:w="1275" w:type="dxa"/>
            <w:noWrap w:val="0"/>
            <w:vAlign w:val="center"/>
          </w:tcPr>
          <w:p w14:paraId="7ACABB30">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lang w:val="en-US" w:eastAsia="zh-CN"/>
              </w:rPr>
            </w:pPr>
            <w:r>
              <w:rPr>
                <w:rFonts w:hint="eastAsia" w:ascii="楷体" w:hAnsi="楷体" w:eastAsia="楷体" w:cs="楷体"/>
                <w:color w:val="auto"/>
                <w:highlight w:val="none"/>
                <w:lang w:val="en-US" w:eastAsia="zh-CN"/>
              </w:rPr>
              <w:t>皖G*****</w:t>
            </w:r>
          </w:p>
        </w:tc>
        <w:tc>
          <w:tcPr>
            <w:tcW w:w="1715" w:type="dxa"/>
            <w:noWrap w:val="0"/>
            <w:vAlign w:val="center"/>
          </w:tcPr>
          <w:p w14:paraId="62A503A7">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r>
      <w:tr w14:paraId="0009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5F1C3D91">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r>
              <w:rPr>
                <w:rFonts w:hint="default" w:ascii="楷体" w:hAnsi="楷体" w:eastAsia="楷体" w:cs="楷体"/>
                <w:color w:val="auto"/>
                <w:highlight w:val="none"/>
              </w:rPr>
              <w:t>2</w:t>
            </w:r>
          </w:p>
        </w:tc>
        <w:tc>
          <w:tcPr>
            <w:tcW w:w="1626" w:type="dxa"/>
            <w:noWrap w:val="0"/>
            <w:vAlign w:val="center"/>
          </w:tcPr>
          <w:p w14:paraId="410C75B3">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c>
          <w:tcPr>
            <w:tcW w:w="1305" w:type="dxa"/>
            <w:noWrap w:val="0"/>
            <w:vAlign w:val="center"/>
          </w:tcPr>
          <w:p w14:paraId="69B2D165">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c>
          <w:tcPr>
            <w:tcW w:w="1525" w:type="dxa"/>
            <w:noWrap w:val="0"/>
            <w:vAlign w:val="center"/>
          </w:tcPr>
          <w:p w14:paraId="213624C9">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c>
          <w:tcPr>
            <w:tcW w:w="1275" w:type="dxa"/>
            <w:noWrap w:val="0"/>
            <w:vAlign w:val="center"/>
          </w:tcPr>
          <w:p w14:paraId="47FE8871">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c>
          <w:tcPr>
            <w:tcW w:w="1715" w:type="dxa"/>
            <w:noWrap w:val="0"/>
            <w:vAlign w:val="center"/>
          </w:tcPr>
          <w:p w14:paraId="1472938E">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r>
      <w:tr w14:paraId="04F6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0597E1EC">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r>
              <w:rPr>
                <w:rFonts w:hint="default" w:ascii="楷体" w:hAnsi="楷体" w:eastAsia="楷体" w:cs="楷体"/>
                <w:color w:val="auto"/>
                <w:highlight w:val="none"/>
              </w:rPr>
              <w:t>3</w:t>
            </w:r>
          </w:p>
        </w:tc>
        <w:tc>
          <w:tcPr>
            <w:tcW w:w="1626" w:type="dxa"/>
            <w:noWrap w:val="0"/>
            <w:vAlign w:val="center"/>
          </w:tcPr>
          <w:p w14:paraId="2421AAFB">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c>
          <w:tcPr>
            <w:tcW w:w="1305" w:type="dxa"/>
            <w:noWrap w:val="0"/>
            <w:vAlign w:val="center"/>
          </w:tcPr>
          <w:p w14:paraId="74B16B6F">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c>
          <w:tcPr>
            <w:tcW w:w="1525" w:type="dxa"/>
            <w:noWrap w:val="0"/>
            <w:vAlign w:val="center"/>
          </w:tcPr>
          <w:p w14:paraId="1BC06C1B">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c>
          <w:tcPr>
            <w:tcW w:w="1275" w:type="dxa"/>
            <w:noWrap w:val="0"/>
            <w:vAlign w:val="center"/>
          </w:tcPr>
          <w:p w14:paraId="2880DEAE">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c>
          <w:tcPr>
            <w:tcW w:w="1715" w:type="dxa"/>
            <w:noWrap w:val="0"/>
            <w:vAlign w:val="center"/>
          </w:tcPr>
          <w:p w14:paraId="017158BC">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r>
      <w:tr w14:paraId="1F44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38160963">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r>
              <w:rPr>
                <w:rFonts w:hint="default" w:ascii="楷体" w:hAnsi="楷体" w:eastAsia="楷体" w:cs="楷体"/>
                <w:color w:val="auto"/>
                <w:highlight w:val="none"/>
              </w:rPr>
              <w:t>4</w:t>
            </w:r>
          </w:p>
        </w:tc>
        <w:tc>
          <w:tcPr>
            <w:tcW w:w="1626" w:type="dxa"/>
            <w:noWrap w:val="0"/>
            <w:vAlign w:val="center"/>
          </w:tcPr>
          <w:p w14:paraId="7809C18A">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c>
          <w:tcPr>
            <w:tcW w:w="1305" w:type="dxa"/>
            <w:noWrap w:val="0"/>
            <w:vAlign w:val="center"/>
          </w:tcPr>
          <w:p w14:paraId="2877306F">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c>
          <w:tcPr>
            <w:tcW w:w="1525" w:type="dxa"/>
            <w:noWrap w:val="0"/>
            <w:vAlign w:val="center"/>
          </w:tcPr>
          <w:p w14:paraId="2571F1E7">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c>
          <w:tcPr>
            <w:tcW w:w="1275" w:type="dxa"/>
            <w:noWrap w:val="0"/>
            <w:vAlign w:val="center"/>
          </w:tcPr>
          <w:p w14:paraId="3EC3F2A6">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c>
          <w:tcPr>
            <w:tcW w:w="1715" w:type="dxa"/>
            <w:noWrap w:val="0"/>
            <w:vAlign w:val="center"/>
          </w:tcPr>
          <w:p w14:paraId="714CA142">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r>
      <w:tr w14:paraId="6CDD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042D72E8">
            <w:pPr>
              <w:keepNext w:val="0"/>
              <w:keepLines w:val="0"/>
              <w:suppressLineNumbers w:val="0"/>
              <w:spacing w:before="0" w:beforeAutospacing="0" w:after="0" w:afterAutospacing="0"/>
              <w:ind w:left="0" w:right="0"/>
              <w:jc w:val="center"/>
              <w:rPr>
                <w:rFonts w:hint="eastAsia" w:ascii="楷体" w:hAnsi="楷体" w:eastAsia="楷体" w:cs="Times New Roman"/>
                <w:color w:val="auto"/>
                <w:highlight w:val="none"/>
                <w:lang w:val="en-US" w:eastAsia="zh-CN"/>
              </w:rPr>
            </w:pPr>
            <w:r>
              <w:rPr>
                <w:rFonts w:hint="eastAsia" w:ascii="楷体" w:hAnsi="楷体" w:eastAsia="楷体" w:cs="Times New Roman"/>
                <w:color w:val="auto"/>
                <w:highlight w:val="none"/>
                <w:lang w:val="en-US" w:eastAsia="zh-CN"/>
              </w:rPr>
              <w:t>5</w:t>
            </w:r>
          </w:p>
        </w:tc>
        <w:tc>
          <w:tcPr>
            <w:tcW w:w="1626" w:type="dxa"/>
            <w:noWrap w:val="0"/>
            <w:vAlign w:val="center"/>
          </w:tcPr>
          <w:p w14:paraId="7BAD1A43">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305" w:type="dxa"/>
            <w:noWrap w:val="0"/>
            <w:vAlign w:val="center"/>
          </w:tcPr>
          <w:p w14:paraId="3BAE6B2D">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525" w:type="dxa"/>
            <w:noWrap w:val="0"/>
            <w:vAlign w:val="center"/>
          </w:tcPr>
          <w:p w14:paraId="0B3B62F9">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275" w:type="dxa"/>
            <w:noWrap w:val="0"/>
            <w:vAlign w:val="center"/>
          </w:tcPr>
          <w:p w14:paraId="295800A0">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715" w:type="dxa"/>
            <w:noWrap w:val="0"/>
            <w:vAlign w:val="center"/>
          </w:tcPr>
          <w:p w14:paraId="4107BF01">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7B66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26FF336E">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626" w:type="dxa"/>
            <w:noWrap w:val="0"/>
            <w:vAlign w:val="center"/>
          </w:tcPr>
          <w:p w14:paraId="04D392E8">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305" w:type="dxa"/>
            <w:noWrap w:val="0"/>
            <w:vAlign w:val="center"/>
          </w:tcPr>
          <w:p w14:paraId="259B5776">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525" w:type="dxa"/>
            <w:noWrap w:val="0"/>
            <w:vAlign w:val="center"/>
          </w:tcPr>
          <w:p w14:paraId="71E3E16D">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275" w:type="dxa"/>
            <w:noWrap w:val="0"/>
            <w:vAlign w:val="center"/>
          </w:tcPr>
          <w:p w14:paraId="50CB0473">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715" w:type="dxa"/>
            <w:noWrap w:val="0"/>
            <w:vAlign w:val="center"/>
          </w:tcPr>
          <w:p w14:paraId="6A5EDF9C">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461A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4EABB932">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626" w:type="dxa"/>
            <w:noWrap w:val="0"/>
            <w:vAlign w:val="center"/>
          </w:tcPr>
          <w:p w14:paraId="6C8AACE6">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305" w:type="dxa"/>
            <w:noWrap w:val="0"/>
            <w:vAlign w:val="center"/>
          </w:tcPr>
          <w:p w14:paraId="1CE6DD66">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525" w:type="dxa"/>
            <w:noWrap w:val="0"/>
            <w:vAlign w:val="center"/>
          </w:tcPr>
          <w:p w14:paraId="6EA7CD06">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275" w:type="dxa"/>
            <w:noWrap w:val="0"/>
            <w:vAlign w:val="center"/>
          </w:tcPr>
          <w:p w14:paraId="38E6FC1A">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715" w:type="dxa"/>
            <w:noWrap w:val="0"/>
            <w:vAlign w:val="center"/>
          </w:tcPr>
          <w:p w14:paraId="0E3B57D5">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3FDF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5CFDE1CC">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626" w:type="dxa"/>
            <w:noWrap w:val="0"/>
            <w:vAlign w:val="center"/>
          </w:tcPr>
          <w:p w14:paraId="230485CD">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305" w:type="dxa"/>
            <w:noWrap w:val="0"/>
            <w:vAlign w:val="center"/>
          </w:tcPr>
          <w:p w14:paraId="482510BC">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525" w:type="dxa"/>
            <w:noWrap w:val="0"/>
            <w:vAlign w:val="center"/>
          </w:tcPr>
          <w:p w14:paraId="1DC8006A">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275" w:type="dxa"/>
            <w:noWrap w:val="0"/>
            <w:vAlign w:val="center"/>
          </w:tcPr>
          <w:p w14:paraId="56CF52BB">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715" w:type="dxa"/>
            <w:noWrap w:val="0"/>
            <w:vAlign w:val="center"/>
          </w:tcPr>
          <w:p w14:paraId="254EAA4C">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2E52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7D0F0A08">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626" w:type="dxa"/>
            <w:noWrap w:val="0"/>
            <w:vAlign w:val="center"/>
          </w:tcPr>
          <w:p w14:paraId="192258D4">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305" w:type="dxa"/>
            <w:noWrap w:val="0"/>
            <w:vAlign w:val="center"/>
          </w:tcPr>
          <w:p w14:paraId="79BD6AA3">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525" w:type="dxa"/>
            <w:noWrap w:val="0"/>
            <w:vAlign w:val="center"/>
          </w:tcPr>
          <w:p w14:paraId="3A25298A">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275" w:type="dxa"/>
            <w:noWrap w:val="0"/>
            <w:vAlign w:val="center"/>
          </w:tcPr>
          <w:p w14:paraId="1F1231FE">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715" w:type="dxa"/>
            <w:noWrap w:val="0"/>
            <w:vAlign w:val="center"/>
          </w:tcPr>
          <w:p w14:paraId="14AD5770">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5C46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1C3133F7">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626" w:type="dxa"/>
            <w:noWrap w:val="0"/>
            <w:vAlign w:val="center"/>
          </w:tcPr>
          <w:p w14:paraId="5014A58C">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305" w:type="dxa"/>
            <w:noWrap w:val="0"/>
            <w:vAlign w:val="center"/>
          </w:tcPr>
          <w:p w14:paraId="29934369">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525" w:type="dxa"/>
            <w:noWrap w:val="0"/>
            <w:vAlign w:val="center"/>
          </w:tcPr>
          <w:p w14:paraId="6358E6AF">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275" w:type="dxa"/>
            <w:noWrap w:val="0"/>
            <w:vAlign w:val="center"/>
          </w:tcPr>
          <w:p w14:paraId="2B8B5258">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715" w:type="dxa"/>
            <w:noWrap w:val="0"/>
            <w:vAlign w:val="center"/>
          </w:tcPr>
          <w:p w14:paraId="5BCB2274">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6619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4DED7DDF">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626" w:type="dxa"/>
            <w:noWrap w:val="0"/>
            <w:vAlign w:val="center"/>
          </w:tcPr>
          <w:p w14:paraId="159573E1">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305" w:type="dxa"/>
            <w:noWrap w:val="0"/>
            <w:vAlign w:val="center"/>
          </w:tcPr>
          <w:p w14:paraId="18957BC6">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525" w:type="dxa"/>
            <w:noWrap w:val="0"/>
            <w:vAlign w:val="center"/>
          </w:tcPr>
          <w:p w14:paraId="783E9372">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275" w:type="dxa"/>
            <w:noWrap w:val="0"/>
            <w:vAlign w:val="center"/>
          </w:tcPr>
          <w:p w14:paraId="4C0FDECE">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715" w:type="dxa"/>
            <w:noWrap w:val="0"/>
            <w:vAlign w:val="center"/>
          </w:tcPr>
          <w:p w14:paraId="7A9080F1">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0BBD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1BE28078">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626" w:type="dxa"/>
            <w:noWrap w:val="0"/>
            <w:vAlign w:val="center"/>
          </w:tcPr>
          <w:p w14:paraId="1F2533EA">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305" w:type="dxa"/>
            <w:noWrap w:val="0"/>
            <w:vAlign w:val="center"/>
          </w:tcPr>
          <w:p w14:paraId="4E80B86F">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525" w:type="dxa"/>
            <w:noWrap w:val="0"/>
            <w:vAlign w:val="center"/>
          </w:tcPr>
          <w:p w14:paraId="3C47EF47">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275" w:type="dxa"/>
            <w:noWrap w:val="0"/>
            <w:vAlign w:val="center"/>
          </w:tcPr>
          <w:p w14:paraId="518587F2">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715" w:type="dxa"/>
            <w:noWrap w:val="0"/>
            <w:vAlign w:val="center"/>
          </w:tcPr>
          <w:p w14:paraId="3971236B">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3650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3A4980EC">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626" w:type="dxa"/>
            <w:noWrap w:val="0"/>
            <w:vAlign w:val="center"/>
          </w:tcPr>
          <w:p w14:paraId="47B85FFB">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305" w:type="dxa"/>
            <w:noWrap w:val="0"/>
            <w:vAlign w:val="center"/>
          </w:tcPr>
          <w:p w14:paraId="5F8FCB24">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525" w:type="dxa"/>
            <w:noWrap w:val="0"/>
            <w:vAlign w:val="center"/>
          </w:tcPr>
          <w:p w14:paraId="57559A0B">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275" w:type="dxa"/>
            <w:noWrap w:val="0"/>
            <w:vAlign w:val="center"/>
          </w:tcPr>
          <w:p w14:paraId="3913FE29">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715" w:type="dxa"/>
            <w:noWrap w:val="0"/>
            <w:vAlign w:val="center"/>
          </w:tcPr>
          <w:p w14:paraId="3F27567A">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2821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17474470">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626" w:type="dxa"/>
            <w:noWrap w:val="0"/>
            <w:vAlign w:val="center"/>
          </w:tcPr>
          <w:p w14:paraId="4BB1B138">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305" w:type="dxa"/>
            <w:noWrap w:val="0"/>
            <w:vAlign w:val="center"/>
          </w:tcPr>
          <w:p w14:paraId="3E58AFDE">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525" w:type="dxa"/>
            <w:noWrap w:val="0"/>
            <w:vAlign w:val="center"/>
          </w:tcPr>
          <w:p w14:paraId="26F3951E">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275" w:type="dxa"/>
            <w:noWrap w:val="0"/>
            <w:vAlign w:val="center"/>
          </w:tcPr>
          <w:p w14:paraId="0AFA5FE6">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715" w:type="dxa"/>
            <w:noWrap w:val="0"/>
            <w:vAlign w:val="center"/>
          </w:tcPr>
          <w:p w14:paraId="7C137004">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0172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3EFD3B8C">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626" w:type="dxa"/>
            <w:noWrap w:val="0"/>
            <w:vAlign w:val="center"/>
          </w:tcPr>
          <w:p w14:paraId="364A7AD0">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305" w:type="dxa"/>
            <w:noWrap w:val="0"/>
            <w:vAlign w:val="center"/>
          </w:tcPr>
          <w:p w14:paraId="6CC200B3">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525" w:type="dxa"/>
            <w:noWrap w:val="0"/>
            <w:vAlign w:val="center"/>
          </w:tcPr>
          <w:p w14:paraId="69C0ABDF">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275" w:type="dxa"/>
            <w:noWrap w:val="0"/>
            <w:vAlign w:val="center"/>
          </w:tcPr>
          <w:p w14:paraId="18B100E6">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715" w:type="dxa"/>
            <w:noWrap w:val="0"/>
            <w:vAlign w:val="center"/>
          </w:tcPr>
          <w:p w14:paraId="66598D0E">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0671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5179C988">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626" w:type="dxa"/>
            <w:noWrap w:val="0"/>
            <w:vAlign w:val="center"/>
          </w:tcPr>
          <w:p w14:paraId="228EED9E">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305" w:type="dxa"/>
            <w:noWrap w:val="0"/>
            <w:vAlign w:val="center"/>
          </w:tcPr>
          <w:p w14:paraId="6A15EF41">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525" w:type="dxa"/>
            <w:noWrap w:val="0"/>
            <w:vAlign w:val="center"/>
          </w:tcPr>
          <w:p w14:paraId="04FCBEB5">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275" w:type="dxa"/>
            <w:noWrap w:val="0"/>
            <w:vAlign w:val="center"/>
          </w:tcPr>
          <w:p w14:paraId="77600D1F">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715" w:type="dxa"/>
            <w:noWrap w:val="0"/>
            <w:vAlign w:val="center"/>
          </w:tcPr>
          <w:p w14:paraId="5C766A76">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0655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405F7BA6">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r>
              <w:rPr>
                <w:rFonts w:hint="eastAsia" w:ascii="楷体" w:hAnsi="楷体" w:eastAsia="楷体" w:cs="楷体"/>
                <w:color w:val="auto"/>
                <w:highlight w:val="none"/>
              </w:rPr>
              <w:t>……</w:t>
            </w:r>
          </w:p>
        </w:tc>
        <w:tc>
          <w:tcPr>
            <w:tcW w:w="1626" w:type="dxa"/>
            <w:noWrap w:val="0"/>
            <w:vAlign w:val="center"/>
          </w:tcPr>
          <w:p w14:paraId="17BA1182">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305" w:type="dxa"/>
            <w:noWrap w:val="0"/>
            <w:vAlign w:val="center"/>
          </w:tcPr>
          <w:p w14:paraId="15319711">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525" w:type="dxa"/>
            <w:noWrap w:val="0"/>
            <w:vAlign w:val="center"/>
          </w:tcPr>
          <w:p w14:paraId="2EF39DCB">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275" w:type="dxa"/>
            <w:noWrap w:val="0"/>
            <w:vAlign w:val="center"/>
          </w:tcPr>
          <w:p w14:paraId="3A763B10">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715" w:type="dxa"/>
            <w:noWrap w:val="0"/>
            <w:vAlign w:val="center"/>
          </w:tcPr>
          <w:p w14:paraId="0D38140E">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210C9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7778A5B4">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r>
              <w:rPr>
                <w:rFonts w:hint="eastAsia" w:ascii="楷体" w:hAnsi="楷体" w:eastAsia="楷体" w:cs="楷体"/>
                <w:color w:val="auto"/>
                <w:highlight w:val="none"/>
              </w:rPr>
              <w:t>合计</w:t>
            </w:r>
          </w:p>
        </w:tc>
        <w:tc>
          <w:tcPr>
            <w:tcW w:w="1626" w:type="dxa"/>
            <w:noWrap w:val="0"/>
            <w:vAlign w:val="center"/>
          </w:tcPr>
          <w:p w14:paraId="60D2559F">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305" w:type="dxa"/>
            <w:noWrap w:val="0"/>
            <w:vAlign w:val="center"/>
          </w:tcPr>
          <w:p w14:paraId="6A8A56A7">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525" w:type="dxa"/>
            <w:noWrap w:val="0"/>
            <w:vAlign w:val="center"/>
          </w:tcPr>
          <w:p w14:paraId="0A8831E7">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275" w:type="dxa"/>
            <w:noWrap w:val="0"/>
            <w:vAlign w:val="center"/>
          </w:tcPr>
          <w:p w14:paraId="5F4E6A61">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c>
          <w:tcPr>
            <w:tcW w:w="1715" w:type="dxa"/>
            <w:noWrap w:val="0"/>
            <w:vAlign w:val="center"/>
          </w:tcPr>
          <w:p w14:paraId="155956F7">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bl>
    <w:p w14:paraId="68A70965">
      <w:pPr>
        <w:spacing w:line="270" w:lineRule="atLeast"/>
        <w:jc w:val="left"/>
        <w:outlineLvl w:val="1"/>
        <w:rPr>
          <w:rFonts w:hint="eastAsia" w:ascii="楷体" w:hAnsi="楷体" w:eastAsia="楷体" w:cs="楷体"/>
          <w:b/>
          <w:color w:val="auto"/>
          <w:highlight w:val="none"/>
          <w:lang w:eastAsia="zh-CN"/>
        </w:rPr>
      </w:pPr>
      <w:r>
        <w:rPr>
          <w:rFonts w:hint="eastAsia" w:ascii="楷体" w:hAnsi="楷体" w:eastAsia="楷体" w:cs="楷体"/>
          <w:b/>
          <w:color w:val="auto"/>
          <w:highlight w:val="none"/>
        </w:rPr>
        <w:t>注：须同时附车辆保险单、营运证、行驶证、车辆照片等相关材料扫描件</w:t>
      </w:r>
      <w:r>
        <w:rPr>
          <w:rFonts w:hint="eastAsia" w:ascii="楷体" w:hAnsi="楷体" w:eastAsia="楷体" w:cs="楷体"/>
          <w:b/>
          <w:color w:val="auto"/>
          <w:highlight w:val="none"/>
          <w:lang w:eastAsia="zh-CN"/>
        </w:rPr>
        <w:t>。</w:t>
      </w:r>
    </w:p>
    <w:p w14:paraId="3F140BC3">
      <w:pPr>
        <w:pStyle w:val="55"/>
        <w:numPr>
          <w:ilvl w:val="0"/>
          <w:numId w:val="0"/>
        </w:numPr>
        <w:ind w:left="0" w:leftChars="0" w:firstLine="0" w:firstLineChars="0"/>
        <w:jc w:val="both"/>
        <w:rPr>
          <w:rFonts w:hint="eastAsia" w:ascii="仿宋" w:hAnsi="仿宋" w:eastAsia="仿宋" w:cs="仿宋"/>
          <w:b/>
          <w:bCs/>
          <w:color w:val="auto"/>
          <w:sz w:val="24"/>
          <w:szCs w:val="24"/>
          <w:highlight w:val="none"/>
          <w:lang w:val="en-US" w:eastAsia="zh-CN"/>
        </w:rPr>
        <w:sectPr>
          <w:headerReference r:id="rId6" w:type="default"/>
          <w:pgSz w:w="11906" w:h="16838"/>
          <w:pgMar w:top="1417" w:right="1338" w:bottom="1417" w:left="1468" w:header="851" w:footer="272" w:gutter="283"/>
          <w:cols w:space="0" w:num="1"/>
          <w:rtlGutter w:val="0"/>
          <w:docGrid w:type="linesAndChars" w:linePitch="312" w:charSpace="1033"/>
        </w:sectPr>
      </w:pPr>
    </w:p>
    <w:p w14:paraId="60D63B8C">
      <w:pPr>
        <w:shd w:val="clear"/>
        <w:jc w:val="both"/>
        <w:rPr>
          <w:rFonts w:hint="eastAsia" w:ascii="仿宋" w:hAnsi="仿宋" w:eastAsia="仿宋" w:cs="仿宋"/>
          <w:b/>
          <w:bCs/>
          <w:color w:val="auto"/>
          <w:sz w:val="24"/>
          <w:szCs w:val="24"/>
          <w:highlight w:val="none"/>
          <w:u w:val="thick"/>
          <w:lang w:val="en-US" w:eastAsia="zh-CN" w:bidi="ar"/>
        </w:rPr>
      </w:pPr>
    </w:p>
    <w:p w14:paraId="18096585">
      <w:pPr>
        <w:shd w:val="clear"/>
        <w:jc w:val="center"/>
        <w:rPr>
          <w:rFonts w:hint="eastAsia" w:ascii="仿宋" w:hAnsi="仿宋" w:eastAsia="仿宋" w:cs="仿宋"/>
          <w:b/>
          <w:bCs/>
          <w:color w:val="auto"/>
          <w:sz w:val="28"/>
          <w:szCs w:val="28"/>
          <w:highlight w:val="none"/>
          <w:lang w:val="en-US" w:eastAsia="zh-CN" w:bidi="ar"/>
        </w:rPr>
      </w:pPr>
      <w:r>
        <w:rPr>
          <w:rFonts w:hint="eastAsia" w:ascii="仿宋" w:hAnsi="仿宋" w:eastAsia="仿宋" w:cs="仿宋"/>
          <w:b/>
          <w:bCs/>
          <w:color w:val="auto"/>
          <w:sz w:val="24"/>
          <w:szCs w:val="24"/>
          <w:highlight w:val="none"/>
          <w:u w:val="thick"/>
          <w:lang w:val="en-US" w:eastAsia="zh-CN" w:bidi="ar"/>
        </w:rPr>
        <w:t xml:space="preserve">铜陵有色金属集团铜冠建筑安装股份有限公司2025年度矿山充填胶凝材料运输业务 </w:t>
      </w:r>
      <w:r>
        <w:rPr>
          <w:rFonts w:hint="eastAsia" w:ascii="仿宋" w:hAnsi="仿宋" w:eastAsia="仿宋" w:cs="仿宋"/>
          <w:b/>
          <w:bCs/>
          <w:color w:val="auto"/>
          <w:sz w:val="24"/>
          <w:szCs w:val="24"/>
          <w:highlight w:val="none"/>
          <w:u w:val="none"/>
          <w:lang w:val="en-US" w:eastAsia="zh-CN" w:bidi="ar"/>
        </w:rPr>
        <w:t>询比采购</w:t>
      </w:r>
      <w:r>
        <w:rPr>
          <w:rFonts w:hint="eastAsia" w:ascii="仿宋" w:hAnsi="仿宋" w:eastAsia="仿宋" w:cs="仿宋"/>
          <w:b/>
          <w:bCs/>
          <w:color w:val="auto"/>
          <w:sz w:val="24"/>
          <w:szCs w:val="24"/>
          <w:highlight w:val="none"/>
          <w:lang w:bidi="ar"/>
        </w:rPr>
        <w:t>报价</w:t>
      </w:r>
      <w:r>
        <w:rPr>
          <w:rFonts w:hint="eastAsia" w:ascii="仿宋" w:hAnsi="仿宋" w:eastAsia="仿宋" w:cs="仿宋"/>
          <w:b/>
          <w:bCs/>
          <w:color w:val="auto"/>
          <w:sz w:val="24"/>
          <w:szCs w:val="24"/>
          <w:highlight w:val="none"/>
          <w:lang w:val="en-US" w:eastAsia="zh-CN" w:bidi="ar"/>
        </w:rPr>
        <w:t>单</w:t>
      </w:r>
    </w:p>
    <w:p w14:paraId="4D452560">
      <w:pPr>
        <w:jc w:val="center"/>
        <w:rPr>
          <w:rFonts w:hint="default"/>
          <w:color w:val="auto"/>
          <w:sz w:val="24"/>
          <w:szCs w:val="24"/>
          <w:highlight w:val="none"/>
          <w:lang w:val="en-US" w:eastAsia="zh-CN"/>
        </w:rPr>
      </w:pPr>
      <w:r>
        <w:rPr>
          <w:rFonts w:hint="eastAsia" w:ascii="仿宋" w:hAnsi="仿宋" w:eastAsia="仿宋" w:cs="仿宋"/>
          <w:b/>
          <w:bCs/>
          <w:color w:val="auto"/>
          <w:sz w:val="28"/>
          <w:szCs w:val="28"/>
          <w:highlight w:val="none"/>
          <w:lang w:val="en-US" w:eastAsia="zh-CN" w:bidi="ar"/>
        </w:rPr>
        <w:t xml:space="preserve">                                                                              </w:t>
      </w:r>
      <w:r>
        <w:rPr>
          <w:rFonts w:hint="eastAsia"/>
          <w:color w:val="auto"/>
          <w:sz w:val="24"/>
          <w:szCs w:val="24"/>
          <w:highlight w:val="none"/>
          <w:lang w:val="en-US" w:eastAsia="zh-CN"/>
        </w:rPr>
        <w:t xml:space="preserve"> TGJA-JX-2025-033</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2900"/>
        <w:gridCol w:w="563"/>
        <w:gridCol w:w="1761"/>
        <w:gridCol w:w="1262"/>
        <w:gridCol w:w="1170"/>
        <w:gridCol w:w="1620"/>
        <w:gridCol w:w="1335"/>
        <w:gridCol w:w="1710"/>
        <w:gridCol w:w="1691"/>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864" w:type="dxa"/>
            <w:vMerge w:val="restart"/>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2900" w:type="dxa"/>
            <w:vMerge w:val="restart"/>
            <w:noWrap w:val="0"/>
            <w:vAlign w:val="center"/>
          </w:tcPr>
          <w:p w14:paraId="31F1C35A">
            <w:pPr>
              <w:keepNext w:val="0"/>
              <w:keepLines w:val="0"/>
              <w:suppressLineNumbers w:val="0"/>
              <w:spacing w:before="0" w:beforeAutospacing="0" w:after="0" w:afterAutospacing="0"/>
              <w:ind w:left="0" w:right="0"/>
              <w:jc w:val="both"/>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eastAsia="zh-CN"/>
              </w:rPr>
              <w:t>起点</w:t>
            </w:r>
            <w:r>
              <w:rPr>
                <w:rFonts w:hint="eastAsia" w:ascii="仿宋" w:hAnsi="仿宋" w:eastAsia="仿宋" w:cs="仿宋"/>
                <w:b/>
                <w:color w:val="auto"/>
                <w:sz w:val="24"/>
                <w:szCs w:val="24"/>
                <w:highlight w:val="none"/>
                <w:lang w:val="en-US" w:eastAsia="zh-CN"/>
              </w:rPr>
              <w:t>-终点</w:t>
            </w:r>
          </w:p>
        </w:tc>
        <w:tc>
          <w:tcPr>
            <w:tcW w:w="563" w:type="dxa"/>
            <w:vMerge w:val="restart"/>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szCs w:val="24"/>
                <w:highlight w:val="none"/>
                <w:lang w:eastAsia="zh-CN"/>
              </w:rPr>
              <w:t>车型</w:t>
            </w:r>
          </w:p>
        </w:tc>
        <w:tc>
          <w:tcPr>
            <w:tcW w:w="1761" w:type="dxa"/>
            <w:vMerge w:val="restart"/>
            <w:noWrap w:val="0"/>
            <w:vAlign w:val="center"/>
          </w:tcPr>
          <w:p w14:paraId="618B648E">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预计距离</w:t>
            </w:r>
          </w:p>
          <w:p w14:paraId="50D2D874">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km</w:t>
            </w:r>
            <w:r>
              <w:rPr>
                <w:rFonts w:hint="eastAsia" w:ascii="仿宋" w:hAnsi="仿宋" w:eastAsia="仿宋" w:cs="仿宋"/>
                <w:b/>
                <w:color w:val="auto"/>
                <w:sz w:val="24"/>
                <w:szCs w:val="24"/>
                <w:highlight w:val="none"/>
                <w:lang w:eastAsia="zh-CN"/>
              </w:rPr>
              <w:t>）</w:t>
            </w:r>
          </w:p>
        </w:tc>
        <w:tc>
          <w:tcPr>
            <w:tcW w:w="2432" w:type="dxa"/>
            <w:gridSpan w:val="2"/>
            <w:vMerge w:val="restart"/>
            <w:noWrap w:val="0"/>
            <w:vAlign w:val="center"/>
          </w:tcPr>
          <w:p w14:paraId="16A6634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数量</w:t>
            </w:r>
          </w:p>
          <w:p w14:paraId="5E35EA4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（吨）</w:t>
            </w:r>
          </w:p>
        </w:tc>
        <w:tc>
          <w:tcPr>
            <w:tcW w:w="1620" w:type="dxa"/>
            <w:vMerge w:val="restart"/>
            <w:noWrap w:val="0"/>
            <w:vAlign w:val="center"/>
          </w:tcPr>
          <w:p w14:paraId="6D7DE75E">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最高限价</w:t>
            </w:r>
          </w:p>
          <w:p w14:paraId="78645F2B">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（元/吨）</w:t>
            </w:r>
          </w:p>
        </w:tc>
        <w:tc>
          <w:tcPr>
            <w:tcW w:w="3045" w:type="dxa"/>
            <w:gridSpan w:val="2"/>
            <w:noWrap w:val="0"/>
            <w:vAlign w:val="center"/>
          </w:tcPr>
          <w:p w14:paraId="572AEBF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bCs w:val="0"/>
                <w:color w:val="auto"/>
                <w:kern w:val="0"/>
                <w:sz w:val="24"/>
                <w:szCs w:val="24"/>
                <w:highlight w:val="none"/>
                <w:lang w:val="en-US" w:eastAsia="zh-CN" w:bidi="ar"/>
              </w:rPr>
              <w:t>报价（含</w:t>
            </w:r>
            <w:r>
              <w:rPr>
                <w:rFonts w:hint="eastAsia" w:ascii="仿宋" w:hAnsi="仿宋" w:eastAsia="仿宋" w:cs="仿宋"/>
                <w:b/>
                <w:bCs w:val="0"/>
                <w:color w:val="auto"/>
                <w:kern w:val="0"/>
                <w:sz w:val="24"/>
                <w:szCs w:val="24"/>
                <w:highlight w:val="none"/>
                <w:u w:val="single"/>
                <w:lang w:val="en-US" w:eastAsia="zh-CN" w:bidi="ar"/>
              </w:rPr>
              <w:t xml:space="preserve">  9  </w:t>
            </w:r>
            <w:r>
              <w:rPr>
                <w:rFonts w:hint="eastAsia" w:ascii="仿宋" w:hAnsi="仿宋" w:eastAsia="仿宋" w:cs="仿宋"/>
                <w:b/>
                <w:bCs w:val="0"/>
                <w:color w:val="auto"/>
                <w:kern w:val="0"/>
                <w:sz w:val="24"/>
                <w:szCs w:val="24"/>
                <w:highlight w:val="none"/>
                <w:lang w:val="en-US" w:eastAsia="zh-CN" w:bidi="ar"/>
              </w:rPr>
              <w:t>%增值税）</w:t>
            </w:r>
          </w:p>
        </w:tc>
        <w:tc>
          <w:tcPr>
            <w:tcW w:w="1691" w:type="dxa"/>
            <w:vMerge w:val="restart"/>
            <w:noWrap w:val="0"/>
            <w:vAlign w:val="center"/>
          </w:tcPr>
          <w:p w14:paraId="2AF72DE7">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864" w:type="dxa"/>
            <w:vMerge w:val="continue"/>
            <w:noWrap w:val="0"/>
            <w:vAlign w:val="center"/>
          </w:tcPr>
          <w:p w14:paraId="6FFD35C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2900" w:type="dxa"/>
            <w:vMerge w:val="continue"/>
            <w:noWrap w:val="0"/>
            <w:vAlign w:val="center"/>
          </w:tcPr>
          <w:p w14:paraId="785F4B5A">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563" w:type="dxa"/>
            <w:vMerge w:val="continue"/>
            <w:noWrap w:val="0"/>
            <w:vAlign w:val="center"/>
          </w:tcPr>
          <w:p w14:paraId="4407F581">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761" w:type="dxa"/>
            <w:vMerge w:val="continue"/>
            <w:noWrap w:val="0"/>
            <w:vAlign w:val="center"/>
          </w:tcPr>
          <w:p w14:paraId="246FD107">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2432" w:type="dxa"/>
            <w:gridSpan w:val="2"/>
            <w:vMerge w:val="continue"/>
            <w:noWrap w:val="0"/>
            <w:vAlign w:val="center"/>
          </w:tcPr>
          <w:p w14:paraId="12FA54A7">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p>
        </w:tc>
        <w:tc>
          <w:tcPr>
            <w:tcW w:w="1620" w:type="dxa"/>
            <w:vMerge w:val="continue"/>
            <w:noWrap w:val="0"/>
            <w:vAlign w:val="center"/>
          </w:tcPr>
          <w:p w14:paraId="6006336E">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335" w:type="dxa"/>
            <w:noWrap w:val="0"/>
            <w:vAlign w:val="center"/>
          </w:tcPr>
          <w:p w14:paraId="4EEC524F">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单价</w:t>
            </w:r>
          </w:p>
        </w:tc>
        <w:tc>
          <w:tcPr>
            <w:tcW w:w="1710" w:type="dxa"/>
            <w:noWrap w:val="0"/>
            <w:vAlign w:val="center"/>
          </w:tcPr>
          <w:p w14:paraId="51839596">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合价</w:t>
            </w:r>
          </w:p>
        </w:tc>
        <w:tc>
          <w:tcPr>
            <w:tcW w:w="1691" w:type="dxa"/>
            <w:vMerge w:val="continue"/>
            <w:noWrap w:val="0"/>
            <w:vAlign w:val="center"/>
          </w:tcPr>
          <w:p w14:paraId="582A2238">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521C1AEB">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bookmarkStart w:id="2" w:name="OLE_LINK2" w:colFirst="6" w:colLast="6"/>
            <w:bookmarkStart w:id="3" w:name="OLE_LINK1" w:colFirst="5" w:colLast="5"/>
            <w:r>
              <w:rPr>
                <w:rFonts w:hint="eastAsia" w:ascii="仿宋" w:hAnsi="仿宋" w:eastAsia="仿宋" w:cs="仿宋"/>
                <w:b w:val="0"/>
                <w:bCs/>
                <w:color w:val="auto"/>
                <w:sz w:val="24"/>
                <w:szCs w:val="24"/>
                <w:highlight w:val="none"/>
                <w:lang w:val="en-US" w:eastAsia="zh-CN"/>
              </w:rPr>
              <w:t>1</w:t>
            </w:r>
          </w:p>
        </w:tc>
        <w:tc>
          <w:tcPr>
            <w:tcW w:w="2900" w:type="dxa"/>
            <w:shd w:val="clear" w:color="auto" w:fill="auto"/>
            <w:noWrap w:val="0"/>
            <w:vAlign w:val="center"/>
          </w:tcPr>
          <w:p w14:paraId="75C8C229">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color w:val="auto"/>
                <w:kern w:val="0"/>
                <w:sz w:val="24"/>
                <w:szCs w:val="24"/>
                <w:highlight w:val="none"/>
                <w:vertAlign w:val="baseline"/>
                <w:lang w:val="en-US" w:eastAsia="zh-CN" w:bidi="ar"/>
              </w:rPr>
              <w:t>铜冠建材-宣城华通矿业</w:t>
            </w:r>
          </w:p>
        </w:tc>
        <w:tc>
          <w:tcPr>
            <w:tcW w:w="563" w:type="dxa"/>
            <w:shd w:val="clear" w:color="auto" w:fill="auto"/>
            <w:noWrap w:val="0"/>
            <w:vAlign w:val="center"/>
          </w:tcPr>
          <w:p w14:paraId="659AF173">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1761" w:type="dxa"/>
            <w:shd w:val="clear" w:color="auto" w:fill="auto"/>
            <w:noWrap w:val="0"/>
            <w:vAlign w:val="center"/>
          </w:tcPr>
          <w:p w14:paraId="2200E20D">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135</w:t>
            </w:r>
          </w:p>
        </w:tc>
        <w:tc>
          <w:tcPr>
            <w:tcW w:w="2432" w:type="dxa"/>
            <w:gridSpan w:val="2"/>
            <w:shd w:val="clear" w:color="auto" w:fill="auto"/>
            <w:noWrap w:val="0"/>
            <w:vAlign w:val="center"/>
          </w:tcPr>
          <w:p w14:paraId="0C0825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3000</w:t>
            </w:r>
          </w:p>
        </w:tc>
        <w:tc>
          <w:tcPr>
            <w:tcW w:w="1620" w:type="dxa"/>
            <w:shd w:val="clear" w:color="auto" w:fill="auto"/>
            <w:noWrap w:val="0"/>
            <w:vAlign w:val="center"/>
          </w:tcPr>
          <w:p w14:paraId="3576F1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55</w:t>
            </w:r>
          </w:p>
        </w:tc>
        <w:tc>
          <w:tcPr>
            <w:tcW w:w="1335" w:type="dxa"/>
            <w:shd w:val="clear" w:color="auto" w:fill="auto"/>
            <w:noWrap w:val="0"/>
            <w:vAlign w:val="center"/>
          </w:tcPr>
          <w:p w14:paraId="1677FA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4"/>
                <w:szCs w:val="24"/>
                <w:highlight w:val="none"/>
                <w:lang w:val="en-US" w:eastAsia="zh-CN" w:bidi="ar-SA"/>
              </w:rPr>
            </w:pPr>
          </w:p>
        </w:tc>
        <w:tc>
          <w:tcPr>
            <w:tcW w:w="1710" w:type="dxa"/>
            <w:shd w:val="clear" w:color="auto" w:fill="auto"/>
            <w:noWrap w:val="0"/>
            <w:vAlign w:val="center"/>
          </w:tcPr>
          <w:p w14:paraId="12CB2D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91" w:type="dxa"/>
            <w:shd w:val="clear" w:color="auto" w:fill="auto"/>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p>
        </w:tc>
      </w:tr>
      <w:tr w14:paraId="6CCC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741AA88D">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p>
        </w:tc>
        <w:tc>
          <w:tcPr>
            <w:tcW w:w="2900" w:type="dxa"/>
            <w:shd w:val="clear" w:color="auto" w:fill="auto"/>
            <w:noWrap w:val="0"/>
            <w:vAlign w:val="center"/>
          </w:tcPr>
          <w:p w14:paraId="57F17FBD">
            <w:pPr>
              <w:keepNext w:val="0"/>
              <w:keepLines w:val="0"/>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vertAlign w:val="baseline"/>
                <w:lang w:val="en-US" w:eastAsia="zh-CN" w:bidi="ar"/>
              </w:rPr>
            </w:pPr>
          </w:p>
        </w:tc>
        <w:tc>
          <w:tcPr>
            <w:tcW w:w="563" w:type="dxa"/>
            <w:shd w:val="clear" w:color="auto" w:fill="auto"/>
            <w:noWrap w:val="0"/>
            <w:vAlign w:val="center"/>
          </w:tcPr>
          <w:p w14:paraId="2C70755A">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p>
        </w:tc>
        <w:tc>
          <w:tcPr>
            <w:tcW w:w="1761" w:type="dxa"/>
            <w:shd w:val="clear" w:color="auto" w:fill="auto"/>
            <w:noWrap w:val="0"/>
            <w:vAlign w:val="center"/>
          </w:tcPr>
          <w:p w14:paraId="3C393FE9">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p>
        </w:tc>
        <w:tc>
          <w:tcPr>
            <w:tcW w:w="2432" w:type="dxa"/>
            <w:gridSpan w:val="2"/>
            <w:shd w:val="clear" w:color="auto" w:fill="auto"/>
            <w:noWrap w:val="0"/>
            <w:vAlign w:val="center"/>
          </w:tcPr>
          <w:p w14:paraId="6A1392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color w:val="auto"/>
                <w:sz w:val="24"/>
                <w:szCs w:val="24"/>
                <w:highlight w:val="none"/>
                <w:lang w:val="en-US" w:eastAsia="zh-CN"/>
              </w:rPr>
            </w:pPr>
          </w:p>
        </w:tc>
        <w:tc>
          <w:tcPr>
            <w:tcW w:w="1620" w:type="dxa"/>
            <w:shd w:val="clear" w:color="auto" w:fill="auto"/>
            <w:noWrap w:val="0"/>
            <w:vAlign w:val="center"/>
          </w:tcPr>
          <w:p w14:paraId="420DE4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color w:val="auto"/>
                <w:kern w:val="2"/>
                <w:sz w:val="22"/>
                <w:szCs w:val="22"/>
                <w:highlight w:val="none"/>
                <w:lang w:val="en-US" w:eastAsia="zh-CN" w:bidi="ar-SA"/>
              </w:rPr>
            </w:pPr>
          </w:p>
        </w:tc>
        <w:tc>
          <w:tcPr>
            <w:tcW w:w="1335" w:type="dxa"/>
            <w:shd w:val="clear" w:color="auto" w:fill="auto"/>
            <w:noWrap w:val="0"/>
            <w:vAlign w:val="center"/>
          </w:tcPr>
          <w:p w14:paraId="245521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710" w:type="dxa"/>
            <w:shd w:val="clear" w:color="auto" w:fill="auto"/>
            <w:noWrap w:val="0"/>
            <w:vAlign w:val="center"/>
          </w:tcPr>
          <w:p w14:paraId="48B62D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91" w:type="dxa"/>
            <w:shd w:val="clear" w:color="auto" w:fill="auto"/>
            <w:noWrap w:val="0"/>
            <w:vAlign w:val="center"/>
          </w:tcPr>
          <w:p w14:paraId="6FD1C0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p>
        </w:tc>
      </w:tr>
      <w:bookmarkEnd w:id="2"/>
      <w:bookmarkEnd w:id="3"/>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7350" w:type="dxa"/>
            <w:gridSpan w:val="5"/>
            <w:noWrap w:val="0"/>
            <w:vAlign w:val="center"/>
          </w:tcPr>
          <w:p w14:paraId="0DB8B3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kern w:val="0"/>
                <w:sz w:val="22"/>
                <w:szCs w:val="22"/>
                <w:highlight w:val="none"/>
                <w:u w:val="none"/>
                <w:lang w:val="en-US" w:eastAsia="zh-CN" w:bidi="ar"/>
              </w:rPr>
            </w:pPr>
            <w:r>
              <w:rPr>
                <w:rFonts w:hint="eastAsia" w:ascii="仿宋" w:hAnsi="仿宋" w:eastAsia="仿宋" w:cs="仿宋"/>
                <w:b/>
                <w:bCs w:val="0"/>
                <w:color w:val="auto"/>
                <w:sz w:val="24"/>
                <w:szCs w:val="24"/>
                <w:highlight w:val="none"/>
                <w:lang w:val="en-US" w:eastAsia="zh-CN"/>
              </w:rPr>
              <w:t>最高限价合计</w:t>
            </w:r>
          </w:p>
        </w:tc>
        <w:tc>
          <w:tcPr>
            <w:tcW w:w="2790" w:type="dxa"/>
            <w:gridSpan w:val="2"/>
            <w:shd w:val="clear" w:color="auto" w:fill="auto"/>
            <w:noWrap w:val="0"/>
            <w:vAlign w:val="center"/>
          </w:tcPr>
          <w:p w14:paraId="0E52217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1335" w:type="dxa"/>
            <w:noWrap w:val="0"/>
            <w:vAlign w:val="center"/>
          </w:tcPr>
          <w:p w14:paraId="14F3628C">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报价合计</w:t>
            </w:r>
          </w:p>
        </w:tc>
        <w:tc>
          <w:tcPr>
            <w:tcW w:w="1710" w:type="dxa"/>
            <w:noWrap w:val="0"/>
            <w:vAlign w:val="center"/>
          </w:tcPr>
          <w:p w14:paraId="615DE9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691" w:type="dxa"/>
            <w:noWrap w:val="0"/>
            <w:vAlign w:val="center"/>
          </w:tcPr>
          <w:p w14:paraId="2B8E3A90">
            <w:pPr>
              <w:keepNext w:val="0"/>
              <w:keepLines w:val="0"/>
              <w:suppressLineNumbers w:val="0"/>
              <w:spacing w:before="0" w:beforeAutospacing="0" w:after="0" w:afterAutospacing="0"/>
              <w:ind w:left="0" w:right="0"/>
              <w:jc w:val="center"/>
              <w:rPr>
                <w:rFonts w:hint="eastAsia" w:ascii="仿宋" w:hAnsi="仿宋" w:eastAsia="仿宋" w:cs="仿宋"/>
                <w:color w:val="auto"/>
                <w:szCs w:val="21"/>
                <w:highlight w:val="none"/>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2" w:hRule="atLeast"/>
          <w:jc w:val="center"/>
        </w:trPr>
        <w:tc>
          <w:tcPr>
            <w:tcW w:w="14876" w:type="dxa"/>
            <w:gridSpan w:val="10"/>
            <w:noWrap w:val="0"/>
            <w:vAlign w:val="center"/>
          </w:tcPr>
          <w:p w14:paraId="178309E5">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报价包含且不仅限于以下内容：</w:t>
            </w:r>
          </w:p>
          <w:p w14:paraId="121C3A3F">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以上为暂估运输量；运费结算按运输磅单最小值进行结算。</w:t>
            </w:r>
          </w:p>
          <w:p w14:paraId="0329BF7A">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以上限价含承运单位承运过程中的一切费用。</w:t>
            </w:r>
          </w:p>
          <w:p w14:paraId="6A2E5D33">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如果运输过程中承运单位对询比采购单位对应的胶凝材料接收矿山造成经济损失，则造成一切费用由成交人赔付，同时对承运单位进行对应处罚。</w:t>
            </w:r>
          </w:p>
          <w:p w14:paraId="49EF48C9">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成交人一经接到成交通知书后，应立即进行对应配送工作，如果配送工作中出现不能按要求履约合同，将建立黑名单制，该成交人一年内不得参加我单位组织的询比价采购。</w:t>
            </w:r>
          </w:p>
          <w:p w14:paraId="72F02AB5">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合同期限：2025年5月23日至2025年12月31日。</w:t>
            </w:r>
          </w:p>
          <w:p w14:paraId="4033A173">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损耗：承运单位需足额完成卸货，并避免装、运、卸过程中不必要的货物损失，损耗率需控制在2‰以内，超出部分的损耗由承运单位承担，按甲方销售价格赔偿损失，从承运单位当月运输费中扣除。如承运单位在终点厂区发现过磅数据异常需及时跟甲方进行反馈。</w:t>
            </w:r>
          </w:p>
          <w:p w14:paraId="2957253A">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为保证合同的严格履行,在合同签定后7天内,承运单位向甲方缴纳安全履约保证金人民币叁万元整（¥30000.00），安全履约保证金在合同终止且双方结算完毕后一个月内无息返还。</w:t>
            </w:r>
          </w:p>
        </w:tc>
      </w:tr>
    </w:tbl>
    <w:p w14:paraId="3BE8C63D">
      <w:pPr>
        <w:spacing w:line="240" w:lineRule="auto"/>
        <w:rPr>
          <w:rFonts w:hint="eastAsia" w:ascii="仿宋" w:hAnsi="仿宋" w:eastAsia="仿宋" w:cs="仿宋"/>
          <w:color w:val="auto"/>
          <w:sz w:val="24"/>
          <w:szCs w:val="24"/>
          <w:highlight w:val="none"/>
        </w:rPr>
      </w:pPr>
      <w:r>
        <w:rPr>
          <w:rFonts w:hint="default" w:ascii="仿宋" w:hAnsi="仿宋" w:eastAsia="仿宋" w:cs="仿宋"/>
          <w:color w:val="auto"/>
          <w:sz w:val="28"/>
          <w:szCs w:val="28"/>
          <w:highlight w:val="none"/>
          <w:lang w:eastAsia="zh-CN"/>
          <w:woUserID w:val="1"/>
        </w:rPr>
        <w:t>响</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单位：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（盖章）</w:t>
      </w:r>
      <w:r>
        <w:rPr>
          <w:rFonts w:hint="eastAsia" w:ascii="仿宋" w:hAnsi="仿宋" w:eastAsia="仿宋" w:cs="仿宋"/>
          <w:color w:val="auto"/>
          <w:sz w:val="28"/>
          <w:szCs w:val="28"/>
          <w:highlight w:val="none"/>
          <w:lang w:val="en-US" w:eastAsia="zh-CN"/>
        </w:rPr>
        <w:t xml:space="preserve">    </w:t>
      </w:r>
      <w:r>
        <w:rPr>
          <w:rFonts w:hint="default" w:ascii="仿宋" w:hAnsi="仿宋" w:eastAsia="仿宋" w:cs="仿宋"/>
          <w:color w:val="auto"/>
          <w:sz w:val="28"/>
          <w:szCs w:val="28"/>
          <w:highlight w:val="none"/>
          <w:woUserID w:val="1"/>
        </w:rPr>
        <w:t>法定代表人</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    日    期：</w:t>
      </w:r>
      <w:r>
        <w:rPr>
          <w:rFonts w:hint="eastAsia" w:ascii="仿宋" w:hAnsi="仿宋" w:eastAsia="仿宋" w:cs="仿宋"/>
          <w:color w:val="auto"/>
          <w:sz w:val="28"/>
          <w:szCs w:val="28"/>
          <w:highlight w:val="none"/>
          <w:u w:val="single"/>
        </w:rPr>
        <w:t xml:space="preserve">     年   月   日  </w:t>
      </w:r>
    </w:p>
    <w:sectPr>
      <w:pgSz w:w="16838" w:h="11906" w:orient="landscape"/>
      <w:pgMar w:top="1468" w:right="1417" w:bottom="846"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胶凝材料运输询比采购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胶凝材料运输询比采购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EF9C1B4B"/>
    <w:multiLevelType w:val="singleLevel"/>
    <w:tmpl w:val="EF9C1B4B"/>
    <w:lvl w:ilvl="0" w:tentative="0">
      <w:start w:val="14"/>
      <w:numFmt w:val="chineseCounting"/>
      <w:suff w:val="nothing"/>
      <w:lvlText w:val="%1、"/>
      <w:lvlJc w:val="left"/>
      <w:rPr>
        <w:rFonts w:hint="eastAsia"/>
      </w:rPr>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3B8FC57"/>
    <w:multiLevelType w:val="singleLevel"/>
    <w:tmpl w:val="13B8FC57"/>
    <w:lvl w:ilvl="0" w:tentative="0">
      <w:start w:val="1"/>
      <w:numFmt w:val="decimal"/>
      <w:suff w:val="nothing"/>
      <w:lvlText w:val="%1、"/>
      <w:lvlJc w:val="left"/>
    </w:lvl>
  </w:abstractNum>
  <w:abstractNum w:abstractNumId="5">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3DA7"/>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4738EE"/>
    <w:rsid w:val="01AF2C21"/>
    <w:rsid w:val="022A6766"/>
    <w:rsid w:val="025370AD"/>
    <w:rsid w:val="02696283"/>
    <w:rsid w:val="02DD1A2B"/>
    <w:rsid w:val="0301396B"/>
    <w:rsid w:val="031C2553"/>
    <w:rsid w:val="039667A9"/>
    <w:rsid w:val="03980C9F"/>
    <w:rsid w:val="03E75026"/>
    <w:rsid w:val="0479149D"/>
    <w:rsid w:val="04CF6EEC"/>
    <w:rsid w:val="05103A0B"/>
    <w:rsid w:val="05393890"/>
    <w:rsid w:val="055204AE"/>
    <w:rsid w:val="059565ED"/>
    <w:rsid w:val="05BF33B5"/>
    <w:rsid w:val="05EB48F5"/>
    <w:rsid w:val="06093262"/>
    <w:rsid w:val="06587D46"/>
    <w:rsid w:val="067D01D2"/>
    <w:rsid w:val="068C3E93"/>
    <w:rsid w:val="06B01930"/>
    <w:rsid w:val="06D33870"/>
    <w:rsid w:val="07091040"/>
    <w:rsid w:val="072F12C0"/>
    <w:rsid w:val="07306784"/>
    <w:rsid w:val="074958E1"/>
    <w:rsid w:val="084A3F14"/>
    <w:rsid w:val="086B7EE6"/>
    <w:rsid w:val="08FD6983"/>
    <w:rsid w:val="08FF094D"/>
    <w:rsid w:val="091837BC"/>
    <w:rsid w:val="098B6DD1"/>
    <w:rsid w:val="09A3577C"/>
    <w:rsid w:val="09E06401"/>
    <w:rsid w:val="0A026946"/>
    <w:rsid w:val="0A231745"/>
    <w:rsid w:val="0A9B46A5"/>
    <w:rsid w:val="0A9E1234"/>
    <w:rsid w:val="0AA7731A"/>
    <w:rsid w:val="0B1B65D7"/>
    <w:rsid w:val="0B2B537E"/>
    <w:rsid w:val="0B512FB6"/>
    <w:rsid w:val="0B6D6042"/>
    <w:rsid w:val="0BBA0AF6"/>
    <w:rsid w:val="0BEC5846"/>
    <w:rsid w:val="0BFF2A12"/>
    <w:rsid w:val="0C084B3C"/>
    <w:rsid w:val="0C3D1EB8"/>
    <w:rsid w:val="0C6241B2"/>
    <w:rsid w:val="0C742CC6"/>
    <w:rsid w:val="0D166265"/>
    <w:rsid w:val="0D2B4E23"/>
    <w:rsid w:val="0D692839"/>
    <w:rsid w:val="0DCB52A1"/>
    <w:rsid w:val="0DD95C10"/>
    <w:rsid w:val="0E1327A4"/>
    <w:rsid w:val="0E3E5A73"/>
    <w:rsid w:val="0E6F3E7F"/>
    <w:rsid w:val="0E745939"/>
    <w:rsid w:val="0E8044EC"/>
    <w:rsid w:val="0E876D2F"/>
    <w:rsid w:val="0EB21FBD"/>
    <w:rsid w:val="0EC82FD7"/>
    <w:rsid w:val="0EDB1514"/>
    <w:rsid w:val="0EF425D6"/>
    <w:rsid w:val="0F352373"/>
    <w:rsid w:val="0F4470B9"/>
    <w:rsid w:val="0F7A0D2D"/>
    <w:rsid w:val="0F953DB9"/>
    <w:rsid w:val="0FCD3553"/>
    <w:rsid w:val="10181623"/>
    <w:rsid w:val="106C38E3"/>
    <w:rsid w:val="11196324"/>
    <w:rsid w:val="11427629"/>
    <w:rsid w:val="11B739DA"/>
    <w:rsid w:val="11C20769"/>
    <w:rsid w:val="12083F5F"/>
    <w:rsid w:val="122338FE"/>
    <w:rsid w:val="122F7967"/>
    <w:rsid w:val="125E4C7B"/>
    <w:rsid w:val="12883761"/>
    <w:rsid w:val="12A820AD"/>
    <w:rsid w:val="12D25F7C"/>
    <w:rsid w:val="13F53078"/>
    <w:rsid w:val="149B034A"/>
    <w:rsid w:val="14AE3227"/>
    <w:rsid w:val="14F24619"/>
    <w:rsid w:val="1500314F"/>
    <w:rsid w:val="15721970"/>
    <w:rsid w:val="15802E15"/>
    <w:rsid w:val="16D01498"/>
    <w:rsid w:val="16FF7D6A"/>
    <w:rsid w:val="1715758D"/>
    <w:rsid w:val="172F68A1"/>
    <w:rsid w:val="178D16D0"/>
    <w:rsid w:val="17C837F7"/>
    <w:rsid w:val="17D86D23"/>
    <w:rsid w:val="1830291B"/>
    <w:rsid w:val="18504D21"/>
    <w:rsid w:val="187417C5"/>
    <w:rsid w:val="18AF15FD"/>
    <w:rsid w:val="18DE057F"/>
    <w:rsid w:val="196038C1"/>
    <w:rsid w:val="198C1092"/>
    <w:rsid w:val="19CA6206"/>
    <w:rsid w:val="1A2F05AD"/>
    <w:rsid w:val="1ABC669E"/>
    <w:rsid w:val="1AE5658C"/>
    <w:rsid w:val="1B1C0EEA"/>
    <w:rsid w:val="1B7B6D63"/>
    <w:rsid w:val="1BBF797C"/>
    <w:rsid w:val="1BFB18C8"/>
    <w:rsid w:val="1C24274C"/>
    <w:rsid w:val="1C290C2C"/>
    <w:rsid w:val="1C602FB9"/>
    <w:rsid w:val="1C7D3C0B"/>
    <w:rsid w:val="1C865229"/>
    <w:rsid w:val="1C92116A"/>
    <w:rsid w:val="1CBC0BD7"/>
    <w:rsid w:val="1CD31A7D"/>
    <w:rsid w:val="1D3C1D18"/>
    <w:rsid w:val="1D6F49ED"/>
    <w:rsid w:val="1D6F4C43"/>
    <w:rsid w:val="1D9531D6"/>
    <w:rsid w:val="1DA13929"/>
    <w:rsid w:val="1DA5166B"/>
    <w:rsid w:val="1DAA6C81"/>
    <w:rsid w:val="1DED6B6E"/>
    <w:rsid w:val="1DEE2CCA"/>
    <w:rsid w:val="1E1862E1"/>
    <w:rsid w:val="1E8C282B"/>
    <w:rsid w:val="1F855971"/>
    <w:rsid w:val="1FA6391E"/>
    <w:rsid w:val="20191E9C"/>
    <w:rsid w:val="2037683E"/>
    <w:rsid w:val="20711CD8"/>
    <w:rsid w:val="20F57ADE"/>
    <w:rsid w:val="21820D0A"/>
    <w:rsid w:val="21A61547"/>
    <w:rsid w:val="21EF60F0"/>
    <w:rsid w:val="225C0752"/>
    <w:rsid w:val="23412FE6"/>
    <w:rsid w:val="236C49D9"/>
    <w:rsid w:val="237A7171"/>
    <w:rsid w:val="23FC26F5"/>
    <w:rsid w:val="24613E12"/>
    <w:rsid w:val="246E6DF4"/>
    <w:rsid w:val="24CA19B7"/>
    <w:rsid w:val="24F240EB"/>
    <w:rsid w:val="25397BCB"/>
    <w:rsid w:val="25590EC9"/>
    <w:rsid w:val="257F27A2"/>
    <w:rsid w:val="25F34F3E"/>
    <w:rsid w:val="25F7787F"/>
    <w:rsid w:val="261A071C"/>
    <w:rsid w:val="26211AAB"/>
    <w:rsid w:val="26996894"/>
    <w:rsid w:val="26A26CEB"/>
    <w:rsid w:val="2755433D"/>
    <w:rsid w:val="27982240"/>
    <w:rsid w:val="27F95E40"/>
    <w:rsid w:val="28F6721F"/>
    <w:rsid w:val="29492BAC"/>
    <w:rsid w:val="295D3061"/>
    <w:rsid w:val="29606D8E"/>
    <w:rsid w:val="297E0FC2"/>
    <w:rsid w:val="299D4A4C"/>
    <w:rsid w:val="29A812EF"/>
    <w:rsid w:val="2A1902C2"/>
    <w:rsid w:val="2A9C0C1B"/>
    <w:rsid w:val="2B0D1570"/>
    <w:rsid w:val="2B532F4F"/>
    <w:rsid w:val="2BFD6B16"/>
    <w:rsid w:val="2C64541C"/>
    <w:rsid w:val="2C7C5C8D"/>
    <w:rsid w:val="2C995D0F"/>
    <w:rsid w:val="2D3E7816"/>
    <w:rsid w:val="2D6706EB"/>
    <w:rsid w:val="2D774259"/>
    <w:rsid w:val="2EC12D59"/>
    <w:rsid w:val="2ECE6548"/>
    <w:rsid w:val="2F1523C9"/>
    <w:rsid w:val="2F29557C"/>
    <w:rsid w:val="2F6101B9"/>
    <w:rsid w:val="2F6C023B"/>
    <w:rsid w:val="30131353"/>
    <w:rsid w:val="30293393"/>
    <w:rsid w:val="302E70B5"/>
    <w:rsid w:val="306204E7"/>
    <w:rsid w:val="30C21E68"/>
    <w:rsid w:val="30D974B7"/>
    <w:rsid w:val="30E96026"/>
    <w:rsid w:val="311F3E7F"/>
    <w:rsid w:val="314948D9"/>
    <w:rsid w:val="31B9528D"/>
    <w:rsid w:val="31F93E99"/>
    <w:rsid w:val="322D17D7"/>
    <w:rsid w:val="325A51BE"/>
    <w:rsid w:val="3289567B"/>
    <w:rsid w:val="32BC4E50"/>
    <w:rsid w:val="331E0F20"/>
    <w:rsid w:val="333663C1"/>
    <w:rsid w:val="33482D6D"/>
    <w:rsid w:val="33703A4F"/>
    <w:rsid w:val="337445C0"/>
    <w:rsid w:val="338F274A"/>
    <w:rsid w:val="339C621D"/>
    <w:rsid w:val="33D3159C"/>
    <w:rsid w:val="34284F5F"/>
    <w:rsid w:val="345637D1"/>
    <w:rsid w:val="346848DB"/>
    <w:rsid w:val="34F52A80"/>
    <w:rsid w:val="3529097C"/>
    <w:rsid w:val="354F3A99"/>
    <w:rsid w:val="357B16F3"/>
    <w:rsid w:val="36050FAB"/>
    <w:rsid w:val="36145188"/>
    <w:rsid w:val="362178A5"/>
    <w:rsid w:val="36227ADF"/>
    <w:rsid w:val="36511F38"/>
    <w:rsid w:val="367256CF"/>
    <w:rsid w:val="36CA1CEB"/>
    <w:rsid w:val="36DE1211"/>
    <w:rsid w:val="373B612C"/>
    <w:rsid w:val="37AF03D6"/>
    <w:rsid w:val="37B60ABE"/>
    <w:rsid w:val="37EE64F4"/>
    <w:rsid w:val="37FC4126"/>
    <w:rsid w:val="382E02B2"/>
    <w:rsid w:val="3872263A"/>
    <w:rsid w:val="38784692"/>
    <w:rsid w:val="38C74734"/>
    <w:rsid w:val="38F1355F"/>
    <w:rsid w:val="39934616"/>
    <w:rsid w:val="39DC7C3B"/>
    <w:rsid w:val="3A103EB8"/>
    <w:rsid w:val="3A3173ED"/>
    <w:rsid w:val="3A4E69FC"/>
    <w:rsid w:val="3A611480"/>
    <w:rsid w:val="3A7A3727"/>
    <w:rsid w:val="3AA52853"/>
    <w:rsid w:val="3AC56A51"/>
    <w:rsid w:val="3ACD3B57"/>
    <w:rsid w:val="3B076549"/>
    <w:rsid w:val="3B5009B4"/>
    <w:rsid w:val="3B645DB3"/>
    <w:rsid w:val="3BDF4B21"/>
    <w:rsid w:val="3BE92C13"/>
    <w:rsid w:val="3C5B75D3"/>
    <w:rsid w:val="3C7823C8"/>
    <w:rsid w:val="3CB46D7D"/>
    <w:rsid w:val="3D3A7C13"/>
    <w:rsid w:val="3D74650C"/>
    <w:rsid w:val="3DB159B2"/>
    <w:rsid w:val="3DC57BD0"/>
    <w:rsid w:val="3DCB0822"/>
    <w:rsid w:val="3DCC4487"/>
    <w:rsid w:val="3E474521"/>
    <w:rsid w:val="3EF47B3D"/>
    <w:rsid w:val="3F1F079B"/>
    <w:rsid w:val="3F7B75DE"/>
    <w:rsid w:val="3F8D52CA"/>
    <w:rsid w:val="3F953A3C"/>
    <w:rsid w:val="3F9D61EE"/>
    <w:rsid w:val="3FCA68B7"/>
    <w:rsid w:val="40C47A67"/>
    <w:rsid w:val="412D70FE"/>
    <w:rsid w:val="414D3E27"/>
    <w:rsid w:val="41525675"/>
    <w:rsid w:val="419D4283"/>
    <w:rsid w:val="41AA074E"/>
    <w:rsid w:val="41B46B47"/>
    <w:rsid w:val="41EC6FB9"/>
    <w:rsid w:val="42043EDE"/>
    <w:rsid w:val="424B79E0"/>
    <w:rsid w:val="4252770E"/>
    <w:rsid w:val="427D651B"/>
    <w:rsid w:val="42A70A2B"/>
    <w:rsid w:val="42F63800"/>
    <w:rsid w:val="4304767F"/>
    <w:rsid w:val="43293E9E"/>
    <w:rsid w:val="434963F7"/>
    <w:rsid w:val="438A4CDB"/>
    <w:rsid w:val="439F612A"/>
    <w:rsid w:val="43A538C3"/>
    <w:rsid w:val="43C84B06"/>
    <w:rsid w:val="43CB5281"/>
    <w:rsid w:val="43F74F20"/>
    <w:rsid w:val="441344E9"/>
    <w:rsid w:val="44842956"/>
    <w:rsid w:val="449E657A"/>
    <w:rsid w:val="44B922E9"/>
    <w:rsid w:val="454315E6"/>
    <w:rsid w:val="455410FD"/>
    <w:rsid w:val="45D43FEC"/>
    <w:rsid w:val="45EF7078"/>
    <w:rsid w:val="46045E94"/>
    <w:rsid w:val="4642189D"/>
    <w:rsid w:val="464949DA"/>
    <w:rsid w:val="465E02D2"/>
    <w:rsid w:val="466979AB"/>
    <w:rsid w:val="46B37FF9"/>
    <w:rsid w:val="471400CF"/>
    <w:rsid w:val="472C3839"/>
    <w:rsid w:val="47944AB8"/>
    <w:rsid w:val="48BF72F3"/>
    <w:rsid w:val="490E63A6"/>
    <w:rsid w:val="499C3073"/>
    <w:rsid w:val="499D4ACB"/>
    <w:rsid w:val="49EC0EA9"/>
    <w:rsid w:val="4A1C7E79"/>
    <w:rsid w:val="4A1E59B7"/>
    <w:rsid w:val="4AA04DE4"/>
    <w:rsid w:val="4B0C67B3"/>
    <w:rsid w:val="4BA803F5"/>
    <w:rsid w:val="4BBA0128"/>
    <w:rsid w:val="4C0C763A"/>
    <w:rsid w:val="4C9B1D07"/>
    <w:rsid w:val="4CBA4AF2"/>
    <w:rsid w:val="4CCA439B"/>
    <w:rsid w:val="4CEB320D"/>
    <w:rsid w:val="4D0647CF"/>
    <w:rsid w:val="4D9F7BB9"/>
    <w:rsid w:val="4DA8143A"/>
    <w:rsid w:val="4E45017D"/>
    <w:rsid w:val="4E791BD4"/>
    <w:rsid w:val="4E822997"/>
    <w:rsid w:val="4ED20DFA"/>
    <w:rsid w:val="4F0F5DA2"/>
    <w:rsid w:val="4F397E6D"/>
    <w:rsid w:val="4F464194"/>
    <w:rsid w:val="4F764499"/>
    <w:rsid w:val="4FA72771"/>
    <w:rsid w:val="4FD33681"/>
    <w:rsid w:val="504C2BE7"/>
    <w:rsid w:val="505446A7"/>
    <w:rsid w:val="505C17AE"/>
    <w:rsid w:val="50B629DB"/>
    <w:rsid w:val="513756A7"/>
    <w:rsid w:val="516923D4"/>
    <w:rsid w:val="51750D79"/>
    <w:rsid w:val="51825669"/>
    <w:rsid w:val="5196753F"/>
    <w:rsid w:val="519A433C"/>
    <w:rsid w:val="51B50E5A"/>
    <w:rsid w:val="51F67AC6"/>
    <w:rsid w:val="52534714"/>
    <w:rsid w:val="526C1FF2"/>
    <w:rsid w:val="5322748C"/>
    <w:rsid w:val="53810440"/>
    <w:rsid w:val="538C532D"/>
    <w:rsid w:val="53BA6E40"/>
    <w:rsid w:val="54243352"/>
    <w:rsid w:val="54C17E31"/>
    <w:rsid w:val="554830C1"/>
    <w:rsid w:val="554A6079"/>
    <w:rsid w:val="557B0928"/>
    <w:rsid w:val="561D5CBD"/>
    <w:rsid w:val="56300C76"/>
    <w:rsid w:val="5641748B"/>
    <w:rsid w:val="56424FA2"/>
    <w:rsid w:val="56B4262E"/>
    <w:rsid w:val="56F75D8C"/>
    <w:rsid w:val="573963A5"/>
    <w:rsid w:val="575B631B"/>
    <w:rsid w:val="576158FB"/>
    <w:rsid w:val="579C59EC"/>
    <w:rsid w:val="57A05D18"/>
    <w:rsid w:val="57AD55DD"/>
    <w:rsid w:val="5807041D"/>
    <w:rsid w:val="583F79D3"/>
    <w:rsid w:val="58691989"/>
    <w:rsid w:val="58873140"/>
    <w:rsid w:val="58C048EF"/>
    <w:rsid w:val="58C6010C"/>
    <w:rsid w:val="58F960F8"/>
    <w:rsid w:val="594F7761"/>
    <w:rsid w:val="59672964"/>
    <w:rsid w:val="59900C4D"/>
    <w:rsid w:val="599C0E6D"/>
    <w:rsid w:val="59C935F6"/>
    <w:rsid w:val="59CC52AE"/>
    <w:rsid w:val="59EB395B"/>
    <w:rsid w:val="5A251A57"/>
    <w:rsid w:val="5A625C12"/>
    <w:rsid w:val="5A947382"/>
    <w:rsid w:val="5A9D4E9D"/>
    <w:rsid w:val="5ABC477B"/>
    <w:rsid w:val="5AD47530"/>
    <w:rsid w:val="5B2D7FCE"/>
    <w:rsid w:val="5B5437AD"/>
    <w:rsid w:val="5B750193"/>
    <w:rsid w:val="5B7976B8"/>
    <w:rsid w:val="5BC14BBB"/>
    <w:rsid w:val="5C13016C"/>
    <w:rsid w:val="5C1E1084"/>
    <w:rsid w:val="5C775650"/>
    <w:rsid w:val="5C974AF9"/>
    <w:rsid w:val="5CCB7A9F"/>
    <w:rsid w:val="5CF3349A"/>
    <w:rsid w:val="5D0134C1"/>
    <w:rsid w:val="5D2E44D2"/>
    <w:rsid w:val="5D46181B"/>
    <w:rsid w:val="5D6F64C5"/>
    <w:rsid w:val="5DBE13B2"/>
    <w:rsid w:val="5DF9063C"/>
    <w:rsid w:val="5E017E34"/>
    <w:rsid w:val="5E4044BD"/>
    <w:rsid w:val="5E6C7060"/>
    <w:rsid w:val="5ED81A2D"/>
    <w:rsid w:val="5FB567E4"/>
    <w:rsid w:val="60065292"/>
    <w:rsid w:val="601B5879"/>
    <w:rsid w:val="60A96349"/>
    <w:rsid w:val="60F035C2"/>
    <w:rsid w:val="610267D6"/>
    <w:rsid w:val="610D4DEA"/>
    <w:rsid w:val="616C0C8E"/>
    <w:rsid w:val="61AB07CC"/>
    <w:rsid w:val="61C3168D"/>
    <w:rsid w:val="624F4CCE"/>
    <w:rsid w:val="626C4E3A"/>
    <w:rsid w:val="62AA63A9"/>
    <w:rsid w:val="62B53CBA"/>
    <w:rsid w:val="62DA4EE0"/>
    <w:rsid w:val="6332455D"/>
    <w:rsid w:val="63584057"/>
    <w:rsid w:val="63DD2403"/>
    <w:rsid w:val="63E45615"/>
    <w:rsid w:val="642E3C33"/>
    <w:rsid w:val="646474F6"/>
    <w:rsid w:val="65891471"/>
    <w:rsid w:val="66131908"/>
    <w:rsid w:val="66662DAE"/>
    <w:rsid w:val="66757ADA"/>
    <w:rsid w:val="66CB6466"/>
    <w:rsid w:val="66E03A9F"/>
    <w:rsid w:val="66F57FEB"/>
    <w:rsid w:val="672901E4"/>
    <w:rsid w:val="67445ADA"/>
    <w:rsid w:val="677376B1"/>
    <w:rsid w:val="67D15122"/>
    <w:rsid w:val="685968A7"/>
    <w:rsid w:val="68761B8F"/>
    <w:rsid w:val="68CF0917"/>
    <w:rsid w:val="690C1B6B"/>
    <w:rsid w:val="691E53FA"/>
    <w:rsid w:val="692549DB"/>
    <w:rsid w:val="693602C7"/>
    <w:rsid w:val="693E20EC"/>
    <w:rsid w:val="694E41F6"/>
    <w:rsid w:val="69AD4D95"/>
    <w:rsid w:val="69D106BF"/>
    <w:rsid w:val="69E60D0A"/>
    <w:rsid w:val="6A315ABB"/>
    <w:rsid w:val="6A58599D"/>
    <w:rsid w:val="6A7F2C51"/>
    <w:rsid w:val="6A87598F"/>
    <w:rsid w:val="6A9A513C"/>
    <w:rsid w:val="6AB37DC4"/>
    <w:rsid w:val="6ACB3360"/>
    <w:rsid w:val="6AED777A"/>
    <w:rsid w:val="6B1F2406"/>
    <w:rsid w:val="6B302BB3"/>
    <w:rsid w:val="6B56531F"/>
    <w:rsid w:val="6B9B2799"/>
    <w:rsid w:val="6C315445"/>
    <w:rsid w:val="6C5C5C5B"/>
    <w:rsid w:val="6C717289"/>
    <w:rsid w:val="6CD7423E"/>
    <w:rsid w:val="6CF90658"/>
    <w:rsid w:val="6D1D0187"/>
    <w:rsid w:val="6D505D9E"/>
    <w:rsid w:val="6DA24149"/>
    <w:rsid w:val="6DFD7CD4"/>
    <w:rsid w:val="6E1119D2"/>
    <w:rsid w:val="6E4C64BB"/>
    <w:rsid w:val="6E4D09A9"/>
    <w:rsid w:val="6E7D0E15"/>
    <w:rsid w:val="6EAE74F5"/>
    <w:rsid w:val="6EC238BC"/>
    <w:rsid w:val="6ED21161"/>
    <w:rsid w:val="6F0B6C96"/>
    <w:rsid w:val="6F1928EC"/>
    <w:rsid w:val="6F285FE2"/>
    <w:rsid w:val="6F2A019B"/>
    <w:rsid w:val="6F6A27B8"/>
    <w:rsid w:val="6F865AA7"/>
    <w:rsid w:val="6FA67EF8"/>
    <w:rsid w:val="6FC0545D"/>
    <w:rsid w:val="6FD809F9"/>
    <w:rsid w:val="6FE32681"/>
    <w:rsid w:val="701F3363"/>
    <w:rsid w:val="703849D5"/>
    <w:rsid w:val="705F4C76"/>
    <w:rsid w:val="706A53C9"/>
    <w:rsid w:val="70712092"/>
    <w:rsid w:val="70912956"/>
    <w:rsid w:val="70BC3E77"/>
    <w:rsid w:val="70E62CA2"/>
    <w:rsid w:val="71091B6B"/>
    <w:rsid w:val="711712EF"/>
    <w:rsid w:val="71350F39"/>
    <w:rsid w:val="71900E5F"/>
    <w:rsid w:val="71956476"/>
    <w:rsid w:val="72155D12"/>
    <w:rsid w:val="72C2329A"/>
    <w:rsid w:val="73BE1EBD"/>
    <w:rsid w:val="742F60FC"/>
    <w:rsid w:val="74924E27"/>
    <w:rsid w:val="749B0247"/>
    <w:rsid w:val="74B57A97"/>
    <w:rsid w:val="74C4154C"/>
    <w:rsid w:val="750D4B8A"/>
    <w:rsid w:val="75271ADB"/>
    <w:rsid w:val="75A66EA3"/>
    <w:rsid w:val="75A924F0"/>
    <w:rsid w:val="75AB7FC4"/>
    <w:rsid w:val="75BA021D"/>
    <w:rsid w:val="75C4732A"/>
    <w:rsid w:val="75E579CC"/>
    <w:rsid w:val="76257065"/>
    <w:rsid w:val="766F01AC"/>
    <w:rsid w:val="76C84BF7"/>
    <w:rsid w:val="76E067DC"/>
    <w:rsid w:val="779C6EAE"/>
    <w:rsid w:val="77DA2E34"/>
    <w:rsid w:val="780A371A"/>
    <w:rsid w:val="780D7AF1"/>
    <w:rsid w:val="781C33ED"/>
    <w:rsid w:val="7833503D"/>
    <w:rsid w:val="787F1108"/>
    <w:rsid w:val="78986F77"/>
    <w:rsid w:val="78D61108"/>
    <w:rsid w:val="791B54B2"/>
    <w:rsid w:val="793439F5"/>
    <w:rsid w:val="794744F9"/>
    <w:rsid w:val="7955321E"/>
    <w:rsid w:val="796E3D99"/>
    <w:rsid w:val="797C3244"/>
    <w:rsid w:val="799139C7"/>
    <w:rsid w:val="79BD5174"/>
    <w:rsid w:val="79EE2BC7"/>
    <w:rsid w:val="7A186171"/>
    <w:rsid w:val="7A562872"/>
    <w:rsid w:val="7A70182E"/>
    <w:rsid w:val="7AB7E244"/>
    <w:rsid w:val="7AC34054"/>
    <w:rsid w:val="7AEE7323"/>
    <w:rsid w:val="7B8D7C88"/>
    <w:rsid w:val="7C252C88"/>
    <w:rsid w:val="7C7123FD"/>
    <w:rsid w:val="7C870086"/>
    <w:rsid w:val="7C9F3CAC"/>
    <w:rsid w:val="7CA53A11"/>
    <w:rsid w:val="7CC61BD9"/>
    <w:rsid w:val="7CE22FC4"/>
    <w:rsid w:val="7CF809B2"/>
    <w:rsid w:val="7CFE0DF7"/>
    <w:rsid w:val="7D007C96"/>
    <w:rsid w:val="7D5316BF"/>
    <w:rsid w:val="7D880CE5"/>
    <w:rsid w:val="7D9341B1"/>
    <w:rsid w:val="7DEF22B8"/>
    <w:rsid w:val="7E065567"/>
    <w:rsid w:val="7E464D80"/>
    <w:rsid w:val="7ECE2AEB"/>
    <w:rsid w:val="7ECE3A16"/>
    <w:rsid w:val="7ED93E46"/>
    <w:rsid w:val="7F231565"/>
    <w:rsid w:val="7F771683"/>
    <w:rsid w:val="7FA32CA3"/>
    <w:rsid w:val="7FD7282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11</Pages>
  <Words>4081</Words>
  <Characters>4289</Characters>
  <Lines>56</Lines>
  <Paragraphs>15</Paragraphs>
  <TotalTime>2</TotalTime>
  <ScaleCrop>false</ScaleCrop>
  <LinksUpToDate>false</LinksUpToDate>
  <CharactersWithSpaces>4783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顺其自然</cp:lastModifiedBy>
  <cp:lastPrinted>2025-05-10T02:39:00Z</cp:lastPrinted>
  <dcterms:modified xsi:type="dcterms:W3CDTF">2025-05-16T03:00:44Z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3A6882C6A1BD451784C6C3E0FF203BAD_13</vt:lpwstr>
  </property>
  <property fmtid="{D5CDD505-2E9C-101B-9397-08002B2CF9AE}" pid="4" name="KSOTemplateDocerSaveRecord">
    <vt:lpwstr>eyJoZGlkIjoiMzEzZDllMGEzMjY0YTk3ZDNjZDQ1YWE5NTdkYjJjMjUiLCJ1c2VySWQiOiI0NzI5MTk4NzEifQ==</vt:lpwstr>
  </property>
</Properties>
</file>