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A8BF5C3">
      <w:pPr>
        <w:pStyle w:val="2"/>
        <w:ind w:firstLine="1215" w:firstLineChars="300"/>
        <w:jc w:val="both"/>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电控-安庆铜矿项目GKD柜体等</w:t>
      </w:r>
      <w:bookmarkStart w:id="0" w:name="_GoBack"/>
      <w:bookmarkEnd w:id="0"/>
    </w:p>
    <w:p w14:paraId="5B1DEC59">
      <w:pPr>
        <w:pStyle w:val="2"/>
        <w:jc w:val="both"/>
        <w:rPr>
          <w:rFonts w:hint="eastAsia" w:asciiTheme="minorEastAsia" w:hAnsiTheme="minorEastAsia" w:eastAsiaTheme="minorEastAsia" w:cstheme="minorEastAsia"/>
          <w:b/>
          <w:bCs/>
          <w:sz w:val="40"/>
          <w:szCs w:val="40"/>
          <w:lang w:val="en-US" w:eastAsia="zh-CN"/>
        </w:rPr>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3E9D2F7C">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4163</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6299284D">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电控——安庆铜矿项目GKD柜体等</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6D3F1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0F5D53"/>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2665</Words>
  <Characters>2950</Characters>
  <Lines>56</Lines>
  <Paragraphs>15</Paragraphs>
  <TotalTime>4</TotalTime>
  <ScaleCrop>false</ScaleCrop>
  <LinksUpToDate>false</LinksUpToDate>
  <CharactersWithSpaces>3030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2024-10-17T06:51:34Z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