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w:t>
      </w:r>
      <w:r>
        <w:rPr>
          <w:rFonts w:hint="eastAsia" w:ascii="仿宋" w:hAnsi="仿宋" w:eastAsia="仿宋" w:cs="仿宋"/>
          <w:b/>
          <w:bCs/>
          <w:kern w:val="1"/>
          <w:sz w:val="44"/>
          <w:szCs w:val="44"/>
          <w:highlight w:val="none"/>
          <w:u w:val="single"/>
          <w:lang w:eastAsia="zh-CN"/>
        </w:rPr>
        <w:t>材</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85</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w:t>
      </w:r>
      <w:r>
        <w:rPr>
          <w:rFonts w:hint="eastAsia" w:ascii="仿宋" w:hAnsi="仿宋" w:eastAsia="仿宋" w:cs="仿宋"/>
          <w:b/>
          <w:bCs/>
          <w:sz w:val="24"/>
          <w:highlight w:val="none"/>
          <w:u w:val="single"/>
          <w:lang w:eastAsia="zh-CN"/>
        </w:rPr>
        <w:t>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85</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第一事业部赤峰金通项目现场电解区域</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85</w:t>
      </w:r>
      <w:r>
        <w:rPr>
          <w:rFonts w:hint="eastAsia" w:ascii="仿宋" w:hAnsi="仿宋" w:eastAsia="仿宋"/>
          <w:b/>
          <w:sz w:val="28"/>
          <w:szCs w:val="28"/>
          <w:highlight w:val="none"/>
        </w:rPr>
        <w:t>）：</w:t>
      </w:r>
    </w:p>
    <w:tbl>
      <w:tblPr>
        <w:tblStyle w:val="54"/>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250"/>
        <w:gridCol w:w="650"/>
        <w:gridCol w:w="263"/>
        <w:gridCol w:w="988"/>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w:t>
            </w:r>
            <w:bookmarkStart w:id="0" w:name="_GoBack"/>
            <w:bookmarkEnd w:id="0"/>
            <w:r>
              <w:rPr>
                <w:rFonts w:hint="eastAsia" w:ascii="仿宋" w:hAnsi="仿宋" w:eastAsia="仿宋" w:cs="仿宋"/>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15.90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50.15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52.75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19.17</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20.79</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45.3</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22;HRB500E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5"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19"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2024-06-14T07:37:34Z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