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书香苑</w:t>
      </w:r>
      <w:r>
        <w:rPr>
          <w:rFonts w:hint="eastAsia" w:ascii="仿宋" w:hAnsi="仿宋" w:eastAsia="仿宋" w:cs="宋体"/>
          <w:b/>
          <w:bCs/>
          <w:kern w:val="1"/>
          <w:sz w:val="44"/>
          <w:szCs w:val="44"/>
          <w:highlight w:val="none"/>
          <w:u w:val="single"/>
        </w:rPr>
        <w:t>项目</w:t>
      </w:r>
      <w:r>
        <w:rPr>
          <w:rFonts w:hint="eastAsia" w:ascii="仿宋" w:hAnsi="仿宋" w:eastAsia="仿宋" w:cs="宋体"/>
          <w:b/>
          <w:bCs/>
          <w:kern w:val="1"/>
          <w:sz w:val="44"/>
          <w:szCs w:val="44"/>
          <w:highlight w:val="none"/>
          <w:u w:val="single"/>
          <w:lang w:eastAsia="zh-CN"/>
        </w:rPr>
        <w:t>采光井、百叶窗</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47</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w:t>
      </w:r>
      <w:r>
        <w:rPr>
          <w:rFonts w:hint="eastAsia" w:ascii="仿宋" w:hAnsi="仿宋" w:eastAsia="仿宋" w:cs="仿宋_GB2312"/>
          <w:b/>
          <w:color w:val="000000"/>
          <w:sz w:val="24"/>
          <w:highlight w:val="none"/>
          <w:u w:val="single"/>
        </w:rPr>
        <w:t>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w:t>
      </w:r>
      <w:r>
        <w:rPr>
          <w:rFonts w:hint="eastAsia" w:ascii="仿宋" w:hAnsi="仿宋" w:eastAsia="仿宋" w:cs="仿宋_GB2312"/>
          <w:b/>
          <w:bCs/>
          <w:sz w:val="24"/>
          <w:highlight w:val="none"/>
          <w:u w:val="single"/>
          <w:lang w:eastAsia="zh-CN"/>
        </w:rPr>
        <w:t>书香苑</w:t>
      </w:r>
      <w:r>
        <w:rPr>
          <w:rFonts w:hint="eastAsia" w:ascii="仿宋" w:hAnsi="仿宋" w:eastAsia="仿宋" w:cs="仿宋_GB2312"/>
          <w:b/>
          <w:bCs/>
          <w:sz w:val="24"/>
          <w:highlight w:val="none"/>
          <w:u w:val="single"/>
        </w:rPr>
        <w:t>项目</w:t>
      </w:r>
      <w:r>
        <w:rPr>
          <w:rFonts w:hint="eastAsia" w:ascii="仿宋" w:hAnsi="仿宋" w:eastAsia="仿宋" w:cs="仿宋_GB2312"/>
          <w:b/>
          <w:bCs/>
          <w:sz w:val="24"/>
          <w:highlight w:val="none"/>
          <w:u w:val="single"/>
          <w:lang w:eastAsia="zh-CN"/>
        </w:rPr>
        <w:t>采光井、百叶窗</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47</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第二事业部书香苑</w:t>
      </w:r>
      <w:r>
        <w:rPr>
          <w:rFonts w:hint="eastAsia" w:ascii="仿宋" w:hAnsi="仿宋" w:eastAsia="仿宋" w:cs="仿宋_GB2312"/>
          <w:sz w:val="24"/>
          <w:highlight w:val="none"/>
        </w:rPr>
        <w:t>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47</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1019"/>
        <w:gridCol w:w="812"/>
        <w:gridCol w:w="1252"/>
        <w:gridCol w:w="1293"/>
        <w:gridCol w:w="1418"/>
        <w:gridCol w:w="812"/>
        <w:gridCol w:w="1325"/>
        <w:gridCol w:w="193"/>
        <w:gridCol w:w="3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58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物料名称</w:t>
            </w:r>
          </w:p>
        </w:tc>
        <w:tc>
          <w:tcPr>
            <w:tcW w:w="1594"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型号规格</w:t>
            </w:r>
          </w:p>
        </w:tc>
        <w:tc>
          <w:tcPr>
            <w:tcW w:w="1019"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w:t>
            </w:r>
          </w:p>
        </w:tc>
        <w:tc>
          <w:tcPr>
            <w:tcW w:w="2064"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c>
          <w:tcPr>
            <w:tcW w:w="129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含税含运费单价</w:t>
            </w:r>
            <w:r>
              <w:rPr>
                <w:rFonts w:hint="eastAsia" w:ascii="仿宋" w:hAnsi="仿宋" w:eastAsia="仿宋" w:cs="仿宋"/>
                <w:color w:val="FF0000"/>
                <w:sz w:val="24"/>
                <w:szCs w:val="24"/>
                <w:highlight w:val="none"/>
              </w:rPr>
              <w:t>*</w:t>
            </w:r>
          </w:p>
        </w:tc>
        <w:tc>
          <w:tcPr>
            <w:tcW w:w="1418"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w:t>
            </w:r>
          </w:p>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金额</w:t>
            </w:r>
            <w:r>
              <w:rPr>
                <w:rFonts w:hint="eastAsia" w:ascii="仿宋" w:hAnsi="仿宋" w:eastAsia="仿宋" w:cs="仿宋"/>
                <w:color w:val="FF0000"/>
                <w:sz w:val="24"/>
                <w:szCs w:val="24"/>
                <w:highlight w:val="none"/>
              </w:rPr>
              <w:t>*</w:t>
            </w:r>
          </w:p>
        </w:tc>
        <w:tc>
          <w:tcPr>
            <w:tcW w:w="812"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税率</w:t>
            </w:r>
            <w:r>
              <w:rPr>
                <w:rFonts w:hint="eastAsia" w:ascii="仿宋" w:hAnsi="仿宋" w:eastAsia="仿宋" w:cs="仿宋"/>
                <w:color w:val="FF0000"/>
                <w:sz w:val="24"/>
                <w:szCs w:val="24"/>
                <w:highlight w:val="none"/>
              </w:rPr>
              <w:t>*</w:t>
            </w:r>
          </w:p>
        </w:tc>
        <w:tc>
          <w:tcPr>
            <w:tcW w:w="1325"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是否为增值税专用发票</w:t>
            </w:r>
            <w:r>
              <w:rPr>
                <w:rFonts w:hint="eastAsia" w:ascii="仿宋" w:hAnsi="仿宋" w:eastAsia="仿宋" w:cs="仿宋"/>
                <w:color w:val="FF0000"/>
                <w:sz w:val="24"/>
                <w:szCs w:val="24"/>
                <w:highlight w:val="none"/>
              </w:rPr>
              <w:t>*</w:t>
            </w:r>
          </w:p>
        </w:tc>
        <w:tc>
          <w:tcPr>
            <w:tcW w:w="3808"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百叶窗</w:t>
            </w:r>
          </w:p>
        </w:tc>
        <w:tc>
          <w:tcPr>
            <w:tcW w:w="1594"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2.48*1m</w:t>
            </w:r>
          </w:p>
        </w:tc>
        <w:tc>
          <w:tcPr>
            <w:tcW w:w="101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2064" w:type="dxa"/>
            <w:gridSpan w:val="2"/>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lang w:val="en-US"/>
              </w:rPr>
            </w:pPr>
            <w:r>
              <w:rPr>
                <w:rFonts w:hint="eastAsia" w:ascii="仿宋" w:hAnsi="仿宋" w:eastAsia="仿宋" w:cs="仿宋"/>
                <w:i w:val="0"/>
                <w:color w:val="000000"/>
                <w:kern w:val="0"/>
                <w:sz w:val="24"/>
                <w:szCs w:val="24"/>
                <w:u w:val="none"/>
                <w:lang w:val="en-US" w:eastAsia="zh-CN" w:bidi="ar"/>
              </w:rPr>
              <w:t>320</w:t>
            </w:r>
          </w:p>
        </w:tc>
        <w:tc>
          <w:tcPr>
            <w:tcW w:w="1293" w:type="dxa"/>
            <w:vAlign w:val="center"/>
          </w:tcPr>
          <w:p>
            <w:pPr>
              <w:spacing w:line="400" w:lineRule="exact"/>
              <w:jc w:val="center"/>
              <w:rPr>
                <w:rFonts w:hint="eastAsia" w:ascii="仿宋" w:hAnsi="仿宋" w:eastAsia="仿宋" w:cs="仿宋"/>
                <w:sz w:val="24"/>
                <w:szCs w:val="24"/>
                <w:highlight w:val="none"/>
              </w:rPr>
            </w:pPr>
          </w:p>
        </w:tc>
        <w:tc>
          <w:tcPr>
            <w:tcW w:w="1418" w:type="dxa"/>
            <w:vAlign w:val="center"/>
          </w:tcPr>
          <w:p>
            <w:pPr>
              <w:spacing w:line="400" w:lineRule="exact"/>
              <w:jc w:val="center"/>
              <w:rPr>
                <w:rFonts w:hint="eastAsia" w:ascii="仿宋" w:hAnsi="仿宋" w:eastAsia="仿宋" w:cs="仿宋"/>
                <w:sz w:val="24"/>
                <w:szCs w:val="24"/>
                <w:highlight w:val="none"/>
              </w:rPr>
            </w:pPr>
          </w:p>
        </w:tc>
        <w:tc>
          <w:tcPr>
            <w:tcW w:w="812" w:type="dxa"/>
            <w:vAlign w:val="center"/>
          </w:tcPr>
          <w:p>
            <w:pPr>
              <w:spacing w:line="400" w:lineRule="exact"/>
              <w:jc w:val="center"/>
              <w:rPr>
                <w:rFonts w:hint="eastAsia" w:ascii="仿宋" w:hAnsi="仿宋" w:eastAsia="仿宋" w:cs="仿宋"/>
                <w:sz w:val="24"/>
                <w:szCs w:val="24"/>
                <w:highlight w:val="none"/>
              </w:rPr>
            </w:pPr>
          </w:p>
        </w:tc>
        <w:tc>
          <w:tcPr>
            <w:tcW w:w="1325" w:type="dxa"/>
            <w:vAlign w:val="center"/>
          </w:tcPr>
          <w:p>
            <w:pPr>
              <w:spacing w:line="400" w:lineRule="exact"/>
              <w:jc w:val="center"/>
              <w:rPr>
                <w:rFonts w:hint="eastAsia" w:ascii="仿宋" w:hAnsi="仿宋" w:eastAsia="仿宋" w:cs="仿宋"/>
                <w:sz w:val="24"/>
                <w:szCs w:val="24"/>
                <w:highlight w:val="none"/>
              </w:rPr>
            </w:pPr>
          </w:p>
        </w:tc>
        <w:tc>
          <w:tcPr>
            <w:tcW w:w="3808" w:type="dxa"/>
            <w:gridSpan w:val="2"/>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rPr>
              <w:t>颜色：咖啡色；2、百叶之间的间距为100mm，叶片厚度不小于3mm，边框厚度不小于4.5mm，净流通面积大于75%；3、型材表面进行氧化膜处理，厚度不小于20um；4、叶片倾斜45度，并具有防雨截水功能，内衬防鼠防虫防坠落保护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采光井四</w:t>
            </w:r>
          </w:p>
        </w:tc>
        <w:tc>
          <w:tcPr>
            <w:tcW w:w="1594"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4900*5650*1200mm</w:t>
            </w:r>
          </w:p>
        </w:tc>
        <w:tc>
          <w:tcPr>
            <w:tcW w:w="101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个</w:t>
            </w:r>
          </w:p>
        </w:tc>
        <w:tc>
          <w:tcPr>
            <w:tcW w:w="2064" w:type="dxa"/>
            <w:gridSpan w:val="2"/>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sz w:val="24"/>
                <w:szCs w:val="24"/>
                <w:highlight w:val="none"/>
              </w:rPr>
            </w:pPr>
          </w:p>
        </w:tc>
        <w:tc>
          <w:tcPr>
            <w:tcW w:w="1418" w:type="dxa"/>
            <w:vAlign w:val="center"/>
          </w:tcPr>
          <w:p>
            <w:pPr>
              <w:spacing w:line="400" w:lineRule="exact"/>
              <w:jc w:val="center"/>
              <w:rPr>
                <w:rFonts w:hint="eastAsia" w:ascii="仿宋" w:hAnsi="仿宋" w:eastAsia="仿宋" w:cs="仿宋"/>
                <w:sz w:val="24"/>
                <w:szCs w:val="24"/>
                <w:highlight w:val="none"/>
              </w:rPr>
            </w:pPr>
          </w:p>
        </w:tc>
        <w:tc>
          <w:tcPr>
            <w:tcW w:w="812" w:type="dxa"/>
            <w:vAlign w:val="center"/>
          </w:tcPr>
          <w:p>
            <w:pPr>
              <w:spacing w:line="400" w:lineRule="exact"/>
              <w:jc w:val="center"/>
              <w:rPr>
                <w:rFonts w:hint="eastAsia" w:ascii="仿宋" w:hAnsi="仿宋" w:eastAsia="仿宋" w:cs="仿宋"/>
                <w:sz w:val="24"/>
                <w:szCs w:val="24"/>
                <w:highlight w:val="none"/>
              </w:rPr>
            </w:pPr>
          </w:p>
        </w:tc>
        <w:tc>
          <w:tcPr>
            <w:tcW w:w="1325" w:type="dxa"/>
            <w:vAlign w:val="center"/>
          </w:tcPr>
          <w:p>
            <w:pPr>
              <w:spacing w:line="400" w:lineRule="exact"/>
              <w:jc w:val="center"/>
              <w:rPr>
                <w:rFonts w:hint="eastAsia" w:ascii="仿宋" w:hAnsi="仿宋" w:eastAsia="仿宋" w:cs="仿宋"/>
                <w:sz w:val="24"/>
                <w:szCs w:val="24"/>
                <w:highlight w:val="none"/>
              </w:rPr>
            </w:pPr>
          </w:p>
        </w:tc>
        <w:tc>
          <w:tcPr>
            <w:tcW w:w="3808" w:type="dxa"/>
            <w:gridSpan w:val="2"/>
            <w:vAlign w:val="center"/>
          </w:tcPr>
          <w:p>
            <w:pPr>
              <w:keepNext w:val="0"/>
              <w:keepLines w:val="0"/>
              <w:widowControl/>
              <w:suppressLineNumbers w:val="0"/>
              <w:jc w:val="center"/>
              <w:textAlignment w:val="center"/>
              <w:rPr>
                <w:rFonts w:hint="eastAsia" w:ascii="仿宋" w:hAnsi="仿宋" w:eastAsia="仿宋" w:cs="仿宋"/>
                <w:sz w:val="24"/>
                <w:szCs w:val="24"/>
                <w:highlight w:val="none"/>
                <w:lang w:val="en-US"/>
              </w:rPr>
            </w:pPr>
            <w:r>
              <w:rPr>
                <w:rFonts w:hint="eastAsia" w:ascii="仿宋" w:hAnsi="仿宋" w:eastAsia="仿宋" w:cs="仿宋"/>
                <w:i w:val="0"/>
                <w:color w:val="000000"/>
                <w:kern w:val="0"/>
                <w:sz w:val="24"/>
                <w:szCs w:val="24"/>
                <w:u w:val="none"/>
                <w:lang w:val="en-US" w:eastAsia="zh-CN" w:bidi="ar"/>
              </w:rPr>
              <w:t>见附件1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采光井五</w:t>
            </w:r>
          </w:p>
        </w:tc>
        <w:tc>
          <w:tcPr>
            <w:tcW w:w="1594"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4850*7500*1200mm</w:t>
            </w:r>
          </w:p>
        </w:tc>
        <w:tc>
          <w:tcPr>
            <w:tcW w:w="101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个</w:t>
            </w:r>
          </w:p>
        </w:tc>
        <w:tc>
          <w:tcPr>
            <w:tcW w:w="2064" w:type="dxa"/>
            <w:gridSpan w:val="2"/>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6</w:t>
            </w:r>
          </w:p>
        </w:tc>
        <w:tc>
          <w:tcPr>
            <w:tcW w:w="1293" w:type="dxa"/>
            <w:vAlign w:val="center"/>
          </w:tcPr>
          <w:p>
            <w:pPr>
              <w:spacing w:line="400" w:lineRule="exact"/>
              <w:jc w:val="center"/>
              <w:rPr>
                <w:rFonts w:hint="eastAsia" w:ascii="仿宋" w:hAnsi="仿宋" w:eastAsia="仿宋" w:cs="仿宋"/>
                <w:sz w:val="24"/>
                <w:szCs w:val="24"/>
                <w:highlight w:val="none"/>
              </w:rPr>
            </w:pPr>
          </w:p>
        </w:tc>
        <w:tc>
          <w:tcPr>
            <w:tcW w:w="1418" w:type="dxa"/>
            <w:vAlign w:val="center"/>
          </w:tcPr>
          <w:p>
            <w:pPr>
              <w:spacing w:line="400" w:lineRule="exact"/>
              <w:jc w:val="center"/>
              <w:rPr>
                <w:rFonts w:hint="eastAsia" w:ascii="仿宋" w:hAnsi="仿宋" w:eastAsia="仿宋" w:cs="仿宋"/>
                <w:sz w:val="24"/>
                <w:szCs w:val="24"/>
                <w:highlight w:val="none"/>
              </w:rPr>
            </w:pPr>
          </w:p>
        </w:tc>
        <w:tc>
          <w:tcPr>
            <w:tcW w:w="812" w:type="dxa"/>
            <w:vAlign w:val="center"/>
          </w:tcPr>
          <w:p>
            <w:pPr>
              <w:spacing w:line="400" w:lineRule="exact"/>
              <w:jc w:val="center"/>
              <w:rPr>
                <w:rFonts w:hint="eastAsia" w:ascii="仿宋" w:hAnsi="仿宋" w:eastAsia="仿宋" w:cs="仿宋"/>
                <w:sz w:val="24"/>
                <w:szCs w:val="24"/>
                <w:highlight w:val="none"/>
              </w:rPr>
            </w:pPr>
          </w:p>
        </w:tc>
        <w:tc>
          <w:tcPr>
            <w:tcW w:w="1325" w:type="dxa"/>
            <w:vAlign w:val="center"/>
          </w:tcPr>
          <w:p>
            <w:pPr>
              <w:spacing w:line="400" w:lineRule="exact"/>
              <w:jc w:val="center"/>
              <w:rPr>
                <w:rFonts w:hint="eastAsia" w:ascii="仿宋" w:hAnsi="仿宋" w:eastAsia="仿宋" w:cs="仿宋"/>
                <w:sz w:val="24"/>
                <w:szCs w:val="24"/>
                <w:highlight w:val="none"/>
              </w:rPr>
            </w:pPr>
          </w:p>
        </w:tc>
        <w:tc>
          <w:tcPr>
            <w:tcW w:w="3808" w:type="dxa"/>
            <w:gridSpan w:val="2"/>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见附件1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812" w:type="dxa"/>
            <w:vAlign w:val="center"/>
          </w:tcPr>
          <w:p>
            <w:pPr>
              <w:spacing w:line="400" w:lineRule="exact"/>
              <w:jc w:val="center"/>
              <w:rPr>
                <w:rFonts w:hint="eastAsia" w:ascii="仿宋" w:hAnsi="仿宋" w:eastAsia="仿宋" w:cs="仿宋"/>
                <w:sz w:val="24"/>
                <w:szCs w:val="24"/>
                <w:highlight w:val="none"/>
              </w:rPr>
            </w:pPr>
          </w:p>
        </w:tc>
        <w:tc>
          <w:tcPr>
            <w:tcW w:w="1325" w:type="dxa"/>
            <w:vAlign w:val="center"/>
          </w:tcPr>
          <w:p>
            <w:pPr>
              <w:spacing w:line="400" w:lineRule="exact"/>
              <w:jc w:val="center"/>
              <w:rPr>
                <w:rFonts w:hint="eastAsia" w:ascii="仿宋" w:hAnsi="仿宋" w:eastAsia="仿宋" w:cs="仿宋"/>
                <w:sz w:val="24"/>
                <w:szCs w:val="24"/>
                <w:highlight w:val="none"/>
              </w:rPr>
            </w:pPr>
          </w:p>
        </w:tc>
        <w:tc>
          <w:tcPr>
            <w:tcW w:w="3808" w:type="dxa"/>
            <w:gridSpan w:val="2"/>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2"/>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3"/>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963" w:type="dxa"/>
            <w:gridSpan w:val="3"/>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3"/>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963" w:type="dxa"/>
            <w:gridSpan w:val="3"/>
            <w:vMerge w:val="continue"/>
            <w:vAlign w:val="center"/>
          </w:tcPr>
          <w:p>
            <w:pPr>
              <w:spacing w:line="400" w:lineRule="exact"/>
              <w:jc w:val="center"/>
              <w:rPr>
                <w:rFonts w:ascii="仿宋" w:hAnsi="仿宋" w:eastAsia="仿宋"/>
                <w:sz w:val="24"/>
                <w:highlight w:val="none"/>
              </w:rPr>
            </w:pPr>
          </w:p>
        </w:tc>
        <w:tc>
          <w:tcPr>
            <w:tcW w:w="2330" w:type="dxa"/>
            <w:gridSpan w:val="3"/>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bookmarkStart w:id="0" w:name="_GoBack"/>
      <w:bookmarkEnd w:id="0"/>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9CB4FB2"/>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5A42A8"/>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2024-04-08T07:18:23Z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