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rPr>
        <w:t>铜陵铜冠建安第二事业部</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金泰化工</w:t>
      </w:r>
      <w:r>
        <w:rPr>
          <w:rFonts w:hint="eastAsia" w:ascii="仿宋" w:hAnsi="仿宋" w:eastAsia="仿宋" w:cs="宋体"/>
          <w:b/>
          <w:bCs/>
          <w:kern w:val="1"/>
          <w:sz w:val="44"/>
          <w:szCs w:val="44"/>
          <w:highlight w:val="none"/>
          <w:u w:val="single"/>
        </w:rPr>
        <w:t>项目</w:t>
      </w:r>
      <w:r>
        <w:rPr>
          <w:rFonts w:hint="eastAsia" w:ascii="仿宋" w:hAnsi="仿宋" w:eastAsia="仿宋" w:cs="宋体"/>
          <w:b/>
          <w:bCs/>
          <w:kern w:val="1"/>
          <w:sz w:val="44"/>
          <w:szCs w:val="44"/>
          <w:highlight w:val="none"/>
          <w:u w:val="single"/>
          <w:lang w:eastAsia="zh-CN"/>
        </w:rPr>
        <w:t>瓷砖</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46</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一、招标日程安排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本次招标的具体内容如下：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本次招标数量是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伍</w:t>
      </w:r>
      <w:r>
        <w:rPr>
          <w:rFonts w:hint="eastAsia" w:ascii="仿宋" w:hAnsi="仿宋" w:eastAsia="仿宋" w:cs="仿宋_GB2312"/>
          <w:b/>
          <w:color w:val="000000"/>
          <w:sz w:val="24"/>
          <w:highlight w:val="none"/>
          <w:u w:val="single"/>
        </w:rPr>
        <w:t>仟</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铜陵铜冠建安第二事业部</w:t>
      </w:r>
      <w:r>
        <w:rPr>
          <w:rFonts w:hint="eastAsia" w:ascii="仿宋" w:hAnsi="仿宋" w:eastAsia="仿宋" w:cs="仿宋_GB2312"/>
          <w:b/>
          <w:bCs/>
          <w:sz w:val="24"/>
          <w:highlight w:val="none"/>
          <w:u w:val="single"/>
          <w:lang w:eastAsia="zh-CN"/>
        </w:rPr>
        <w:t>金泰化工</w:t>
      </w:r>
      <w:r>
        <w:rPr>
          <w:rFonts w:hint="eastAsia" w:ascii="仿宋" w:hAnsi="仿宋" w:eastAsia="仿宋" w:cs="仿宋_GB2312"/>
          <w:b/>
          <w:bCs/>
          <w:sz w:val="24"/>
          <w:highlight w:val="none"/>
          <w:u w:val="single"/>
        </w:rPr>
        <w:t>项目</w:t>
      </w:r>
      <w:r>
        <w:rPr>
          <w:rFonts w:hint="eastAsia" w:ascii="仿宋" w:hAnsi="仿宋" w:eastAsia="仿宋" w:cs="仿宋_GB2312"/>
          <w:b/>
          <w:bCs/>
          <w:sz w:val="24"/>
          <w:highlight w:val="none"/>
          <w:u w:val="single"/>
          <w:lang w:eastAsia="zh-CN"/>
        </w:rPr>
        <w:t>瓷砖</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46</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ascii="仿宋" w:hAnsi="仿宋" w:eastAsia="仿宋" w:cs="仿宋"/>
          <w:sz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材料质量要求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highlight w:val="none"/>
        </w:rPr>
        <w:t>应符合国家最新质量标准和招标文件要求。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（2）投标人如若中标，提供的材料必须符合技术指标要求。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第二事业部金泰化工</w:t>
      </w:r>
      <w:r>
        <w:rPr>
          <w:rFonts w:hint="eastAsia" w:ascii="仿宋" w:hAnsi="仿宋" w:eastAsia="仿宋" w:cs="仿宋_GB2312"/>
          <w:sz w:val="24"/>
          <w:highlight w:val="none"/>
        </w:rPr>
        <w:t>项目施工现场。</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（1）本次招标价为含税含运费一票制价格。</w:t>
      </w:r>
    </w:p>
    <w:p>
      <w:pPr>
        <w:spacing w:line="360" w:lineRule="auto"/>
        <w:ind w:left="560"/>
        <w:rPr>
          <w:rFonts w:ascii="仿宋" w:hAnsi="仿宋" w:eastAsia="仿宋" w:cs="仿宋_GB2312"/>
          <w:sz w:val="24"/>
          <w:highlight w:val="none"/>
        </w:rPr>
      </w:pPr>
      <w:r>
        <w:rPr>
          <w:rFonts w:hint="eastAsia" w:ascii="仿宋" w:hAnsi="仿宋" w:eastAsia="仿宋" w:cs="仿宋_GB2312"/>
          <w:sz w:val="24"/>
          <w:highlight w:val="none"/>
        </w:rPr>
        <w:t>（2）一经中标，合同期内价格不予调整。</w:t>
      </w:r>
    </w:p>
    <w:p>
      <w:pPr>
        <w:spacing w:line="360" w:lineRule="auto"/>
        <w:ind w:left="56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ascii="仿宋" w:hAnsi="仿宋" w:eastAsia="仿宋" w:cs="仿宋_GB2312"/>
          <w:spacing w:val="-17"/>
          <w:sz w:val="24"/>
          <w:highlight w:val="none"/>
        </w:rPr>
      </w:pPr>
      <w:r>
        <w:rPr>
          <w:rFonts w:hint="eastAsia" w:ascii="仿宋" w:hAnsi="仿宋" w:eastAsia="仿宋" w:cs="仿宋_GB2312"/>
          <w:sz w:val="24"/>
          <w:highlight w:val="none"/>
          <w:u w:val="single"/>
        </w:rPr>
        <w:t>各投标单位报价须谨慎，一旦中标不得以任何理由变更报价</w:t>
      </w:r>
      <w:r>
        <w:rPr>
          <w:rFonts w:hint="eastAsia" w:ascii="仿宋" w:hAnsi="仿宋" w:eastAsia="仿宋" w:cs="仿宋_GB2312"/>
          <w:spacing w:val="-17"/>
          <w:sz w:val="24"/>
          <w:highlight w:val="none"/>
          <w:u w:val="singl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8、付款方式</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color w:val="000000" w:themeColor="text1"/>
          <w:sz w:val="24"/>
          <w:highlight w:val="none"/>
          <w:u w:val="single"/>
        </w:rPr>
        <w:t>合同签订后，</w:t>
      </w:r>
      <w:r>
        <w:rPr>
          <w:rFonts w:hint="eastAsia" w:ascii="仿宋" w:hAnsi="仿宋" w:eastAsia="仿宋" w:cs="仿宋"/>
          <w:color w:val="000000" w:themeColor="text1"/>
          <w:sz w:val="24"/>
          <w:highlight w:val="none"/>
          <w:u w:val="single"/>
        </w:rPr>
        <w:t>货到验收合格后开具发票，入账次月支付40%，春节前支付至80%，剩余20%该春节后两年内付清。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46</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1587"/>
        <w:gridCol w:w="1594"/>
        <w:gridCol w:w="1019"/>
        <w:gridCol w:w="812"/>
        <w:gridCol w:w="1252"/>
        <w:gridCol w:w="1293"/>
        <w:gridCol w:w="1418"/>
        <w:gridCol w:w="987"/>
        <w:gridCol w:w="1343"/>
        <w:gridCol w:w="220"/>
        <w:gridCol w:w="3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物料名称</w:t>
            </w:r>
          </w:p>
        </w:tc>
        <w:tc>
          <w:tcPr>
            <w:tcW w:w="1594"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型号规格</w:t>
            </w:r>
          </w:p>
        </w:tc>
        <w:tc>
          <w:tcPr>
            <w:tcW w:w="1019"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2064"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29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含税含运费单价</w:t>
            </w:r>
            <w:r>
              <w:rPr>
                <w:rFonts w:hint="eastAsia" w:ascii="仿宋" w:hAnsi="仿宋" w:eastAsia="仿宋" w:cs="仿宋"/>
                <w:color w:val="FF0000"/>
                <w:sz w:val="24"/>
                <w:szCs w:val="24"/>
                <w:highlight w:val="none"/>
              </w:rPr>
              <w:t>*</w:t>
            </w:r>
          </w:p>
        </w:tc>
        <w:tc>
          <w:tcPr>
            <w:tcW w:w="1418"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含税含运费</w:t>
            </w:r>
          </w:p>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金额</w:t>
            </w:r>
            <w:r>
              <w:rPr>
                <w:rFonts w:hint="eastAsia" w:ascii="仿宋" w:hAnsi="仿宋" w:eastAsia="仿宋" w:cs="仿宋"/>
                <w:color w:val="FF0000"/>
                <w:sz w:val="24"/>
                <w:szCs w:val="24"/>
                <w:highlight w:val="none"/>
              </w:rPr>
              <w:t>*</w:t>
            </w:r>
          </w:p>
        </w:tc>
        <w:tc>
          <w:tcPr>
            <w:tcW w:w="987"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税率</w:t>
            </w:r>
            <w:r>
              <w:rPr>
                <w:rFonts w:hint="eastAsia" w:ascii="仿宋" w:hAnsi="仿宋" w:eastAsia="仿宋" w:cs="仿宋"/>
                <w:color w:val="FF0000"/>
                <w:sz w:val="24"/>
                <w:szCs w:val="24"/>
                <w:highlight w:val="none"/>
              </w:rPr>
              <w:t>*</w:t>
            </w:r>
          </w:p>
        </w:tc>
        <w:tc>
          <w:tcPr>
            <w:tcW w:w="1563"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是否为增值税专用发票</w:t>
            </w:r>
            <w:r>
              <w:rPr>
                <w:rFonts w:hint="eastAsia" w:ascii="仿宋" w:hAnsi="仿宋" w:eastAsia="仿宋" w:cs="仿宋"/>
                <w:color w:val="FF0000"/>
                <w:sz w:val="24"/>
                <w:szCs w:val="24"/>
                <w:highlight w:val="none"/>
              </w:rPr>
              <w:t>*</w:t>
            </w:r>
          </w:p>
        </w:tc>
        <w:tc>
          <w:tcPr>
            <w:tcW w:w="3395"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大理石纹地砖</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800*800mm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2400.00</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987" w:type="dxa"/>
            <w:vAlign w:val="center"/>
          </w:tcPr>
          <w:p>
            <w:pPr>
              <w:spacing w:line="400" w:lineRule="exact"/>
              <w:jc w:val="center"/>
              <w:rPr>
                <w:rFonts w:hint="eastAsia" w:ascii="仿宋" w:hAnsi="仿宋" w:eastAsia="仿宋" w:cs="仿宋"/>
                <w:sz w:val="24"/>
                <w:szCs w:val="24"/>
                <w:highlight w:val="none"/>
              </w:rPr>
            </w:pPr>
          </w:p>
        </w:tc>
        <w:tc>
          <w:tcPr>
            <w:tcW w:w="1563" w:type="dxa"/>
            <w:gridSpan w:val="2"/>
            <w:vAlign w:val="center"/>
          </w:tcPr>
          <w:p>
            <w:pPr>
              <w:spacing w:line="400" w:lineRule="exact"/>
              <w:jc w:val="center"/>
              <w:rPr>
                <w:rFonts w:hint="eastAsia" w:ascii="仿宋" w:hAnsi="仿宋" w:eastAsia="仿宋" w:cs="仿宋"/>
                <w:sz w:val="24"/>
                <w:szCs w:val="24"/>
                <w:highlight w:val="none"/>
              </w:rPr>
            </w:pPr>
          </w:p>
        </w:tc>
        <w:tc>
          <w:tcPr>
            <w:tcW w:w="3395" w:type="dxa"/>
            <w:vAlign w:val="center"/>
          </w:tcPr>
          <w:p>
            <w:pPr>
              <w:keepNext w:val="0"/>
              <w:keepLines w:val="0"/>
              <w:widowControl/>
              <w:suppressLineNumbers w:val="0"/>
              <w:jc w:val="left"/>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1、送样业主确定后供货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2、按现场需求分批次供货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3、业主推荐品牌：新中源，东鹏、蒙娜丽莎、简一、诺贝尔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大理石纹地砖</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800*800mm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130.00</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987" w:type="dxa"/>
            <w:vAlign w:val="center"/>
          </w:tcPr>
          <w:p>
            <w:pPr>
              <w:spacing w:line="400" w:lineRule="exact"/>
              <w:jc w:val="center"/>
              <w:rPr>
                <w:rFonts w:hint="eastAsia" w:ascii="仿宋" w:hAnsi="仿宋" w:eastAsia="仿宋" w:cs="仿宋"/>
                <w:sz w:val="24"/>
                <w:szCs w:val="24"/>
                <w:highlight w:val="none"/>
              </w:rPr>
            </w:pPr>
          </w:p>
        </w:tc>
        <w:tc>
          <w:tcPr>
            <w:tcW w:w="1563" w:type="dxa"/>
            <w:gridSpan w:val="2"/>
            <w:vAlign w:val="center"/>
          </w:tcPr>
          <w:p>
            <w:pPr>
              <w:spacing w:line="400" w:lineRule="exact"/>
              <w:jc w:val="center"/>
              <w:rPr>
                <w:rFonts w:hint="eastAsia" w:ascii="仿宋" w:hAnsi="仿宋" w:eastAsia="仿宋" w:cs="仿宋"/>
                <w:sz w:val="24"/>
                <w:szCs w:val="24"/>
                <w:highlight w:val="none"/>
              </w:rPr>
            </w:pPr>
          </w:p>
        </w:tc>
        <w:tc>
          <w:tcPr>
            <w:tcW w:w="3395" w:type="dxa"/>
            <w:vAlign w:val="center"/>
          </w:tcPr>
          <w:p>
            <w:pPr>
              <w:keepNext w:val="0"/>
              <w:keepLines w:val="0"/>
              <w:widowControl/>
              <w:suppressLineNumbers w:val="0"/>
              <w:jc w:val="left"/>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1、送样业主确定后供货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2、按现场需求分批次供货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3、楼梯踏步，需按现场规格尺寸需求进行加工拉槽倒角等</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4、业主推荐品牌：新中源，东鹏、蒙娜丽莎、简一、诺贝尔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大理石纹地砖</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750*1500mm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240.00</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987" w:type="dxa"/>
            <w:vAlign w:val="center"/>
          </w:tcPr>
          <w:p>
            <w:pPr>
              <w:spacing w:line="400" w:lineRule="exact"/>
              <w:jc w:val="center"/>
              <w:rPr>
                <w:rFonts w:hint="eastAsia" w:ascii="仿宋" w:hAnsi="仿宋" w:eastAsia="仿宋" w:cs="仿宋"/>
                <w:sz w:val="24"/>
                <w:szCs w:val="24"/>
                <w:highlight w:val="none"/>
              </w:rPr>
            </w:pPr>
          </w:p>
        </w:tc>
        <w:tc>
          <w:tcPr>
            <w:tcW w:w="1563" w:type="dxa"/>
            <w:gridSpan w:val="2"/>
            <w:vAlign w:val="center"/>
          </w:tcPr>
          <w:p>
            <w:pPr>
              <w:spacing w:line="400" w:lineRule="exact"/>
              <w:jc w:val="center"/>
              <w:rPr>
                <w:rFonts w:hint="eastAsia" w:ascii="仿宋" w:hAnsi="仿宋" w:eastAsia="仿宋" w:cs="仿宋"/>
                <w:sz w:val="24"/>
                <w:szCs w:val="24"/>
                <w:highlight w:val="none"/>
              </w:rPr>
            </w:pPr>
          </w:p>
        </w:tc>
        <w:tc>
          <w:tcPr>
            <w:tcW w:w="3395" w:type="dxa"/>
            <w:vAlign w:val="center"/>
          </w:tcPr>
          <w:p>
            <w:pPr>
              <w:keepNext w:val="0"/>
              <w:keepLines w:val="0"/>
              <w:widowControl/>
              <w:suppressLineNumbers w:val="0"/>
              <w:jc w:val="left"/>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1、送样业主确定后供货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2、按现场需求分批次供货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3、业主推荐品牌：新中源，东鹏、蒙娜丽莎、简一、诺贝尔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防滑地砖</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400*400mm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180.00</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987" w:type="dxa"/>
            <w:vAlign w:val="center"/>
          </w:tcPr>
          <w:p>
            <w:pPr>
              <w:spacing w:line="400" w:lineRule="exact"/>
              <w:jc w:val="center"/>
              <w:rPr>
                <w:rFonts w:hint="eastAsia" w:ascii="仿宋" w:hAnsi="仿宋" w:eastAsia="仿宋" w:cs="仿宋"/>
                <w:sz w:val="24"/>
                <w:szCs w:val="24"/>
                <w:highlight w:val="none"/>
              </w:rPr>
            </w:pPr>
          </w:p>
        </w:tc>
        <w:tc>
          <w:tcPr>
            <w:tcW w:w="1563" w:type="dxa"/>
            <w:gridSpan w:val="2"/>
            <w:vAlign w:val="center"/>
          </w:tcPr>
          <w:p>
            <w:pPr>
              <w:spacing w:line="400" w:lineRule="exact"/>
              <w:jc w:val="center"/>
              <w:rPr>
                <w:rFonts w:hint="eastAsia" w:ascii="仿宋" w:hAnsi="仿宋" w:eastAsia="仿宋" w:cs="仿宋"/>
                <w:sz w:val="24"/>
                <w:szCs w:val="24"/>
                <w:highlight w:val="none"/>
              </w:rPr>
            </w:pPr>
          </w:p>
        </w:tc>
        <w:tc>
          <w:tcPr>
            <w:tcW w:w="3395" w:type="dxa"/>
            <w:vAlign w:val="center"/>
          </w:tcPr>
          <w:p>
            <w:pPr>
              <w:keepNext w:val="0"/>
              <w:keepLines w:val="0"/>
              <w:widowControl/>
              <w:suppressLineNumbers w:val="0"/>
              <w:jc w:val="left"/>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1、送样业主确定后供货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2、按现场需求分批次供货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3、业主推荐品牌：新中源，东鹏、蒙娜丽莎、简一、诺贝尔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c>
          <w:tcPr>
            <w:tcW w:w="1587"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墙砖</w:t>
            </w:r>
          </w:p>
        </w:tc>
        <w:tc>
          <w:tcPr>
            <w:tcW w:w="1594"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400*800*12mm</w:t>
            </w:r>
          </w:p>
        </w:tc>
        <w:tc>
          <w:tcPr>
            <w:tcW w:w="1019" w:type="dxa"/>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平方米</w:t>
            </w:r>
          </w:p>
        </w:tc>
        <w:tc>
          <w:tcPr>
            <w:tcW w:w="2064" w:type="dxa"/>
            <w:gridSpan w:val="2"/>
            <w:vAlign w:val="center"/>
          </w:tcPr>
          <w:p>
            <w:pPr>
              <w:keepNext w:val="0"/>
              <w:keepLines w:val="0"/>
              <w:widowControl/>
              <w:suppressLineNumbers w:val="0"/>
              <w:jc w:val="center"/>
              <w:textAlignment w:val="center"/>
              <w:rPr>
                <w:rFonts w:hint="eastAsia" w:ascii="仿宋" w:hAnsi="仿宋" w:eastAsia="仿宋" w:cs="仿宋"/>
                <w:color w:val="000000"/>
                <w:sz w:val="24"/>
                <w:szCs w:val="24"/>
                <w:highlight w:val="none"/>
              </w:rPr>
            </w:pPr>
            <w:r>
              <w:rPr>
                <w:rFonts w:hint="eastAsia" w:ascii="仿宋" w:hAnsi="仿宋" w:eastAsia="仿宋" w:cs="仿宋"/>
                <w:i w:val="0"/>
                <w:color w:val="000000"/>
                <w:kern w:val="0"/>
                <w:sz w:val="24"/>
                <w:szCs w:val="24"/>
                <w:u w:val="none"/>
                <w:lang w:val="en-US" w:eastAsia="zh-CN" w:bidi="ar"/>
              </w:rPr>
              <w:t>650.00</w:t>
            </w:r>
          </w:p>
        </w:tc>
        <w:tc>
          <w:tcPr>
            <w:tcW w:w="1293" w:type="dxa"/>
            <w:vAlign w:val="center"/>
          </w:tcPr>
          <w:p>
            <w:pPr>
              <w:spacing w:line="400" w:lineRule="exact"/>
              <w:jc w:val="center"/>
              <w:rPr>
                <w:rFonts w:hint="eastAsia" w:ascii="仿宋" w:hAnsi="仿宋" w:eastAsia="仿宋" w:cs="仿宋"/>
                <w:sz w:val="24"/>
                <w:szCs w:val="24"/>
                <w:highlight w:val="none"/>
              </w:rPr>
            </w:pPr>
          </w:p>
        </w:tc>
        <w:tc>
          <w:tcPr>
            <w:tcW w:w="1418" w:type="dxa"/>
            <w:vAlign w:val="center"/>
          </w:tcPr>
          <w:p>
            <w:pPr>
              <w:spacing w:line="400" w:lineRule="exact"/>
              <w:jc w:val="center"/>
              <w:rPr>
                <w:rFonts w:hint="eastAsia" w:ascii="仿宋" w:hAnsi="仿宋" w:eastAsia="仿宋" w:cs="仿宋"/>
                <w:sz w:val="24"/>
                <w:szCs w:val="24"/>
                <w:highlight w:val="none"/>
              </w:rPr>
            </w:pPr>
          </w:p>
        </w:tc>
        <w:tc>
          <w:tcPr>
            <w:tcW w:w="987" w:type="dxa"/>
            <w:vAlign w:val="center"/>
          </w:tcPr>
          <w:p>
            <w:pPr>
              <w:spacing w:line="400" w:lineRule="exact"/>
              <w:jc w:val="center"/>
              <w:rPr>
                <w:rFonts w:hint="eastAsia" w:ascii="仿宋" w:hAnsi="仿宋" w:eastAsia="仿宋" w:cs="仿宋"/>
                <w:sz w:val="24"/>
                <w:szCs w:val="24"/>
                <w:highlight w:val="none"/>
              </w:rPr>
            </w:pPr>
          </w:p>
        </w:tc>
        <w:tc>
          <w:tcPr>
            <w:tcW w:w="1563" w:type="dxa"/>
            <w:gridSpan w:val="2"/>
            <w:vAlign w:val="center"/>
          </w:tcPr>
          <w:p>
            <w:pPr>
              <w:spacing w:line="400" w:lineRule="exact"/>
              <w:jc w:val="center"/>
              <w:rPr>
                <w:rFonts w:hint="eastAsia" w:ascii="仿宋" w:hAnsi="仿宋" w:eastAsia="仿宋" w:cs="仿宋"/>
                <w:sz w:val="24"/>
                <w:szCs w:val="24"/>
                <w:highlight w:val="none"/>
              </w:rPr>
            </w:pPr>
          </w:p>
        </w:tc>
        <w:tc>
          <w:tcPr>
            <w:tcW w:w="3395" w:type="dxa"/>
            <w:vAlign w:val="center"/>
          </w:tcPr>
          <w:p>
            <w:pPr>
              <w:keepNext w:val="0"/>
              <w:keepLines w:val="0"/>
              <w:widowControl/>
              <w:suppressLineNumbers w:val="0"/>
              <w:jc w:val="left"/>
              <w:textAlignment w:val="center"/>
              <w:rPr>
                <w:rFonts w:hint="eastAsia" w:ascii="仿宋" w:hAnsi="仿宋" w:eastAsia="仿宋" w:cs="仿宋"/>
                <w:sz w:val="24"/>
                <w:szCs w:val="24"/>
                <w:highlight w:val="none"/>
              </w:rPr>
            </w:pPr>
            <w:r>
              <w:rPr>
                <w:rFonts w:hint="eastAsia" w:ascii="仿宋" w:hAnsi="仿宋" w:eastAsia="仿宋" w:cs="仿宋"/>
                <w:i w:val="0"/>
                <w:color w:val="000000"/>
                <w:kern w:val="0"/>
                <w:sz w:val="24"/>
                <w:szCs w:val="24"/>
                <w:u w:val="none"/>
                <w:lang w:val="en-US" w:eastAsia="zh-CN" w:bidi="ar"/>
              </w:rPr>
              <w:t>1、送样业主确定后供货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2、按现场需求分批次供货</w:t>
            </w:r>
            <w:r>
              <w:rPr>
                <w:rFonts w:hint="eastAsia" w:ascii="仿宋" w:hAnsi="仿宋" w:eastAsia="仿宋" w:cs="仿宋"/>
                <w:i w:val="0"/>
                <w:color w:val="000000"/>
                <w:kern w:val="0"/>
                <w:sz w:val="24"/>
                <w:szCs w:val="24"/>
                <w:u w:val="none"/>
                <w:lang w:val="en-US" w:eastAsia="zh-CN" w:bidi="ar"/>
              </w:rPr>
              <w:br w:type="textWrapping"/>
            </w:r>
            <w:r>
              <w:rPr>
                <w:rFonts w:hint="eastAsia" w:ascii="仿宋" w:hAnsi="仿宋" w:eastAsia="仿宋" w:cs="仿宋"/>
                <w:i w:val="0"/>
                <w:color w:val="000000"/>
                <w:kern w:val="0"/>
                <w:sz w:val="24"/>
                <w:szCs w:val="24"/>
                <w:u w:val="none"/>
                <w:lang w:val="en-US" w:eastAsia="zh-CN" w:bidi="ar"/>
              </w:rPr>
              <w:t>3、业主推荐品牌：新中源，东鹏、蒙娜丽莎、简一、诺贝尔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bookmarkStart w:id="0" w:name="_GoBack"/>
            <w:bookmarkEnd w:id="0"/>
          </w:p>
        </w:tc>
        <w:tc>
          <w:tcPr>
            <w:tcW w:w="987" w:type="dxa"/>
            <w:vAlign w:val="center"/>
          </w:tcPr>
          <w:p>
            <w:pPr>
              <w:spacing w:line="400" w:lineRule="exact"/>
              <w:jc w:val="center"/>
              <w:rPr>
                <w:rFonts w:hint="eastAsia" w:ascii="仿宋" w:hAnsi="仿宋" w:eastAsia="仿宋" w:cs="仿宋"/>
                <w:sz w:val="24"/>
                <w:szCs w:val="24"/>
                <w:highlight w:val="none"/>
              </w:rPr>
            </w:pPr>
          </w:p>
        </w:tc>
        <w:tc>
          <w:tcPr>
            <w:tcW w:w="1563" w:type="dxa"/>
            <w:gridSpan w:val="2"/>
            <w:vAlign w:val="center"/>
          </w:tcPr>
          <w:p>
            <w:pPr>
              <w:spacing w:line="400" w:lineRule="exact"/>
              <w:jc w:val="center"/>
              <w:rPr>
                <w:rFonts w:hint="eastAsia" w:ascii="仿宋" w:hAnsi="仿宋" w:eastAsia="仿宋" w:cs="仿宋"/>
                <w:sz w:val="24"/>
                <w:szCs w:val="24"/>
                <w:highlight w:val="none"/>
              </w:rPr>
            </w:pPr>
          </w:p>
        </w:tc>
        <w:tc>
          <w:tcPr>
            <w:tcW w:w="3395"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5443" w:type="dxa"/>
            <w:gridSpan w:val="12"/>
            <w:vAlign w:val="center"/>
          </w:tcPr>
          <w:p>
            <w:pPr>
              <w:spacing w:line="400" w:lineRule="exact"/>
              <w:rPr>
                <w:rFonts w:ascii="仿宋" w:hAnsi="仿宋" w:eastAsia="仿宋"/>
                <w:sz w:val="24"/>
                <w:highlight w:val="none"/>
              </w:rPr>
            </w:pPr>
            <w:r>
              <w:rPr>
                <w:rFonts w:hint="eastAsia" w:ascii="仿宋" w:hAnsi="仿宋" w:eastAsia="仿宋"/>
                <w:sz w:val="24"/>
                <w:highlight w:val="none"/>
              </w:rPr>
              <w:t xml:space="preserve">说明：1、此报价表中带 </w:t>
            </w:r>
            <w:r>
              <w:rPr>
                <w:rFonts w:hint="eastAsia" w:ascii="仿宋" w:hAnsi="仿宋" w:eastAsia="仿宋"/>
                <w:color w:val="FF0000"/>
                <w:sz w:val="24"/>
                <w:highlight w:val="none"/>
              </w:rPr>
              <w:t>＊</w:t>
            </w:r>
            <w:r>
              <w:rPr>
                <w:rFonts w:hint="eastAsia" w:ascii="仿宋" w:hAnsi="仿宋" w:eastAsia="仿宋"/>
                <w:sz w:val="24"/>
                <w:highlight w:val="none"/>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highlight w:val="none"/>
              </w:rPr>
            </w:pPr>
            <w:r>
              <w:rPr>
                <w:rFonts w:hint="eastAsia" w:ascii="仿宋" w:hAnsi="仿宋" w:eastAsia="仿宋"/>
                <w:sz w:val="24"/>
                <w:highlight w:val="none"/>
              </w:rPr>
              <w:t>2、本次招标的数量为预估量，最终结算数量以双方确认的实际供货数量为准。</w:t>
            </w:r>
          </w:p>
          <w:p>
            <w:pPr>
              <w:spacing w:line="400" w:lineRule="exact"/>
              <w:ind w:firstLine="720" w:firstLineChars="300"/>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5"/>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3"/>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5"/>
            <w:vMerge w:val="continue"/>
            <w:vAlign w:val="center"/>
          </w:tcPr>
          <w:p>
            <w:pPr>
              <w:spacing w:line="400" w:lineRule="exact"/>
              <w:rPr>
                <w:rFonts w:ascii="仿宋" w:hAnsi="仿宋" w:eastAsia="仿宋"/>
                <w:sz w:val="24"/>
                <w:highlight w:val="none"/>
              </w:rPr>
            </w:pPr>
          </w:p>
        </w:tc>
        <w:tc>
          <w:tcPr>
            <w:tcW w:w="3963" w:type="dxa"/>
            <w:gridSpan w:val="3"/>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cs="仿宋_GB2312"/>
          <w:b/>
          <w:sz w:val="36"/>
          <w:szCs w:val="36"/>
          <w:highlight w:val="none"/>
        </w:rPr>
      </w:pPr>
    </w:p>
    <w:p>
      <w:pPr>
        <w:spacing w:line="400" w:lineRule="exact"/>
        <w:rPr>
          <w:rFonts w:ascii="仿宋" w:hAnsi="仿宋" w:eastAsia="仿宋" w:cs="仿宋_GB2312"/>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pict>
        <v:shape id="_x0000_i1025"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pict>
        <v:shape id="_x0000_i1026" o:spt="75" alt="tlys" type="#_x0000_t75" style="height:16.5pt;width:18pt;" filled="f" o:preferrelative="t" stroked="f" coordsize="21600,21600">
          <v:path/>
          <v:fill on="f" focussize="0,0"/>
          <v:stroke on="f" joinstyle="miter"/>
          <v:imagedata r:id="rId1" o:title="tlys"/>
          <o:lock v:ext="edit" aspectratio="t"/>
          <w10:wrap type="none"/>
          <w10:anchorlock/>
        </v:shape>
      </w:pict>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9E94006"/>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C56F3"/>
    <w:rsid w:val="26A26CEB"/>
    <w:rsid w:val="27235E7D"/>
    <w:rsid w:val="276F4E38"/>
    <w:rsid w:val="2834446C"/>
    <w:rsid w:val="28B84042"/>
    <w:rsid w:val="299D4A4C"/>
    <w:rsid w:val="2A1902C2"/>
    <w:rsid w:val="2C6224E4"/>
    <w:rsid w:val="2C995D0F"/>
    <w:rsid w:val="2D3E7816"/>
    <w:rsid w:val="2DC36D5F"/>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9CB4FB2"/>
    <w:rsid w:val="3A076D9E"/>
    <w:rsid w:val="3A3173ED"/>
    <w:rsid w:val="3B076549"/>
    <w:rsid w:val="3B82173E"/>
    <w:rsid w:val="3C5B75D3"/>
    <w:rsid w:val="3C7823C8"/>
    <w:rsid w:val="3CA42746"/>
    <w:rsid w:val="3DCC4487"/>
    <w:rsid w:val="3E474521"/>
    <w:rsid w:val="3E583AD2"/>
    <w:rsid w:val="3FD0292A"/>
    <w:rsid w:val="3FF77603"/>
    <w:rsid w:val="413C763F"/>
    <w:rsid w:val="41B14926"/>
    <w:rsid w:val="41B46B47"/>
    <w:rsid w:val="41DA5117"/>
    <w:rsid w:val="424B79E0"/>
    <w:rsid w:val="42FA2D1F"/>
    <w:rsid w:val="434963F7"/>
    <w:rsid w:val="436B2C00"/>
    <w:rsid w:val="439F612A"/>
    <w:rsid w:val="441344E9"/>
    <w:rsid w:val="44842956"/>
    <w:rsid w:val="44B922E9"/>
    <w:rsid w:val="45086E27"/>
    <w:rsid w:val="465E02D2"/>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2024-04-08T07:12:03Z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