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mc:AlternateContent>
          <mc:Choice Requires="wps">
            <w:drawing>
              <wp:anchor distT="0" distB="0" distL="114300" distR="114300" simplePos="0" relativeHeight="503315456"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1024;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highlight w:val="none"/>
        </w:rPr>
      </w:pPr>
    </w:p>
    <w:p>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rPr>
        <w:t>铜陵铜冠建安</w:t>
      </w:r>
      <w:r>
        <w:rPr>
          <w:rFonts w:hint="eastAsia" w:ascii="仿宋" w:hAnsi="仿宋" w:eastAsia="仿宋" w:cs="宋体"/>
          <w:b/>
          <w:bCs/>
          <w:kern w:val="1"/>
          <w:sz w:val="44"/>
          <w:szCs w:val="44"/>
          <w:highlight w:val="none"/>
          <w:u w:val="single"/>
          <w:lang w:eastAsia="zh-CN"/>
        </w:rPr>
        <w:t>建材公司</w:t>
      </w:r>
    </w:p>
    <w:p>
      <w:pPr>
        <w:spacing w:line="560" w:lineRule="exact"/>
        <w:jc w:val="center"/>
        <w:rPr>
          <w:rFonts w:ascii="仿宋" w:hAnsi="仿宋" w:eastAsia="仿宋" w:cs="宋体"/>
          <w:b/>
          <w:bCs/>
          <w:kern w:val="1"/>
          <w:sz w:val="44"/>
          <w:szCs w:val="44"/>
          <w:highlight w:val="none"/>
          <w:u w:val="single"/>
        </w:rPr>
      </w:pPr>
      <w:r>
        <w:rPr>
          <w:rFonts w:hint="eastAsia" w:ascii="仿宋" w:hAnsi="仿宋" w:eastAsia="仿宋" w:cs="宋体"/>
          <w:b/>
          <w:bCs/>
          <w:kern w:val="1"/>
          <w:sz w:val="44"/>
          <w:szCs w:val="44"/>
          <w:highlight w:val="none"/>
          <w:u w:val="single"/>
          <w:lang w:eastAsia="zh-CN"/>
        </w:rPr>
        <w:t>固化剂</w:t>
      </w:r>
      <w:r>
        <w:rPr>
          <w:rFonts w:hint="eastAsia" w:ascii="仿宋" w:hAnsi="仿宋" w:eastAsia="仿宋" w:cs="宋体"/>
          <w:b/>
          <w:bCs/>
          <w:kern w:val="1"/>
          <w:sz w:val="44"/>
          <w:szCs w:val="44"/>
          <w:highlight w:val="none"/>
          <w:u w:val="single"/>
        </w:rPr>
        <w:t>材料</w:t>
      </w:r>
    </w:p>
    <w:p>
      <w:pPr>
        <w:tabs>
          <w:tab w:val="left" w:pos="7020"/>
        </w:tabs>
        <w:jc w:val="center"/>
        <w:rPr>
          <w:rFonts w:ascii="仿宋" w:hAnsi="仿宋" w:eastAsia="仿宋" w:cs="宋体"/>
          <w:b/>
          <w:bCs/>
          <w:kern w:val="1"/>
          <w:sz w:val="44"/>
          <w:szCs w:val="44"/>
          <w:highlight w:val="none"/>
          <w:u w:val="single"/>
        </w:rPr>
      </w:pPr>
    </w:p>
    <w:p>
      <w:pPr>
        <w:spacing w:line="560" w:lineRule="exact"/>
        <w:rPr>
          <w:rFonts w:ascii="仿宋" w:hAnsi="仿宋" w:eastAsia="仿宋"/>
          <w:sz w:val="44"/>
          <w:szCs w:val="44"/>
          <w:highlight w:val="none"/>
        </w:rPr>
      </w:pPr>
    </w:p>
    <w:p>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竞价文件</w:t>
      </w:r>
    </w:p>
    <w:p>
      <w:pPr>
        <w:tabs>
          <w:tab w:val="left" w:pos="7020"/>
        </w:tabs>
        <w:spacing w:line="560" w:lineRule="exact"/>
        <w:jc w:val="center"/>
        <w:rPr>
          <w:rFonts w:ascii="仿宋" w:hAnsi="仿宋" w:eastAsia="仿宋"/>
          <w:b/>
          <w:sz w:val="52"/>
          <w:szCs w:val="52"/>
          <w:highlight w:val="none"/>
        </w:rPr>
      </w:pPr>
    </w:p>
    <w:p>
      <w:pPr>
        <w:tabs>
          <w:tab w:val="left" w:pos="7020"/>
        </w:tabs>
        <w:spacing w:line="560" w:lineRule="exact"/>
        <w:jc w:val="center"/>
        <w:rPr>
          <w:rFonts w:ascii="仿宋" w:hAnsi="仿宋" w:eastAsia="仿宋"/>
          <w:b/>
          <w:sz w:val="52"/>
          <w:szCs w:val="52"/>
          <w:highlight w:val="none"/>
        </w:rPr>
      </w:pPr>
    </w:p>
    <w:p>
      <w:pPr>
        <w:spacing w:line="560" w:lineRule="exact"/>
        <w:rPr>
          <w:rFonts w:hint="default"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w:t>
      </w:r>
      <w:r>
        <w:rPr>
          <w:rFonts w:hint="eastAsia" w:ascii="仿宋" w:hAnsi="仿宋" w:eastAsia="仿宋" w:cs="仿宋_GB2312"/>
          <w:b/>
          <w:bCs/>
          <w:sz w:val="32"/>
          <w:szCs w:val="32"/>
          <w:highlight w:val="none"/>
          <w:u w:val="single"/>
          <w:lang w:val="en-US" w:eastAsia="zh-CN"/>
        </w:rPr>
        <w:t>32</w:t>
      </w:r>
    </w:p>
    <w:p>
      <w:pPr>
        <w:spacing w:line="560" w:lineRule="exact"/>
        <w:rPr>
          <w:rFonts w:ascii="仿宋" w:hAnsi="仿宋" w:eastAsia="仿宋" w:cs="仿宋_GB2312"/>
          <w:b/>
          <w:bCs/>
          <w:sz w:val="32"/>
          <w:szCs w:val="32"/>
          <w:highlight w:val="none"/>
          <w:u w:val="single"/>
        </w:rPr>
      </w:pPr>
    </w:p>
    <w:p>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pPr>
        <w:spacing w:line="560" w:lineRule="exact"/>
        <w:rPr>
          <w:rFonts w:ascii="仿宋" w:hAnsi="仿宋" w:eastAsia="仿宋" w:cs="仿宋_GB2312"/>
          <w:b/>
          <w:bCs/>
          <w:sz w:val="32"/>
          <w:szCs w:val="3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highlight w:val="none"/>
          <w:u w:val="single"/>
        </w:rPr>
      </w:pPr>
    </w:p>
    <w:p>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w:t>
      </w:r>
      <w:r>
        <w:rPr>
          <w:rFonts w:hint="eastAsia" w:ascii="仿宋" w:hAnsi="仿宋" w:eastAsia="仿宋" w:cs="仿宋_GB2312"/>
          <w:b/>
          <w:sz w:val="24"/>
          <w:highlight w:val="none"/>
          <w:lang w:eastAsia="zh-CN"/>
        </w:rPr>
        <w:t>竞价</w:t>
      </w:r>
      <w:r>
        <w:rPr>
          <w:rFonts w:hint="eastAsia" w:ascii="仿宋" w:hAnsi="仿宋" w:eastAsia="仿宋" w:cs="仿宋_GB2312"/>
          <w:b/>
          <w:sz w:val="24"/>
          <w:highlight w:val="none"/>
        </w:rPr>
        <w:t>日程安排</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3</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21</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w:t>
      </w:r>
      <w:bookmarkStart w:id="0" w:name="_GoBack"/>
      <w:bookmarkEnd w:id="0"/>
      <w:r>
        <w:rPr>
          <w:rFonts w:hint="eastAsia" w:ascii="仿宋" w:hAnsi="仿宋" w:eastAsia="仿宋" w:cs="仿宋_GB2312"/>
          <w:sz w:val="24"/>
          <w:highlight w:val="none"/>
        </w:rPr>
        <w:t>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3</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21</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pPr>
        <w:spacing w:line="360" w:lineRule="auto"/>
        <w:ind w:firstLine="480" w:firstLineChars="200"/>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w:t>
      </w:r>
      <w:r>
        <w:rPr>
          <w:rFonts w:hint="eastAsia" w:ascii="仿宋" w:hAnsi="仿宋" w:eastAsia="仿宋" w:cs="仿宋_GB2312"/>
          <w:sz w:val="24"/>
          <w:highlight w:val="none"/>
          <w:u w:val="single"/>
          <w:lang w:eastAsia="zh-CN"/>
        </w:rPr>
        <w:t>竞价</w:t>
      </w:r>
      <w:r>
        <w:rPr>
          <w:rFonts w:hint="eastAsia" w:ascii="仿宋" w:hAnsi="仿宋" w:eastAsia="仿宋" w:cs="仿宋_GB2312"/>
          <w:sz w:val="24"/>
          <w:highlight w:val="none"/>
          <w:u w:val="single"/>
        </w:rPr>
        <w:t>的具体内容如下：</w:t>
      </w:r>
    </w:p>
    <w:p>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pPr>
        <w:spacing w:line="360" w:lineRule="auto"/>
        <w:ind w:firstLine="388" w:firstLineChars="200"/>
        <w:rPr>
          <w:rFonts w:ascii="仿宋" w:hAnsi="仿宋" w:eastAsia="仿宋" w:cs="仿宋_GB2312"/>
          <w:spacing w:val="-23"/>
          <w:sz w:val="24"/>
          <w:highlight w:val="none"/>
          <w:u w:val="single"/>
        </w:rPr>
      </w:pPr>
    </w:p>
    <w:p>
      <w:pPr>
        <w:spacing w:line="360" w:lineRule="auto"/>
        <w:ind w:firstLine="388" w:firstLineChars="200"/>
        <w:rPr>
          <w:rFonts w:ascii="仿宋" w:hAnsi="仿宋" w:eastAsia="仿宋" w:cs="仿宋_GB2312"/>
          <w:spacing w:val="-23"/>
          <w:sz w:val="24"/>
          <w:highlight w:val="none"/>
          <w:u w:val="single"/>
        </w:rPr>
      </w:pPr>
    </w:p>
    <w:p>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w:t>
      </w:r>
      <w:r>
        <w:rPr>
          <w:rFonts w:hint="eastAsia" w:ascii="仿宋" w:hAnsi="仿宋" w:eastAsia="仿宋" w:cs="仿宋_GB2312"/>
          <w:bCs/>
          <w:sz w:val="24"/>
          <w:highlight w:val="none"/>
          <w:lang w:eastAsia="zh-CN"/>
        </w:rPr>
        <w:t>竞价</w:t>
      </w:r>
      <w:r>
        <w:rPr>
          <w:rFonts w:hint="eastAsia" w:ascii="仿宋" w:hAnsi="仿宋" w:eastAsia="仿宋" w:cs="仿宋_GB2312"/>
          <w:bCs/>
          <w:sz w:val="24"/>
          <w:highlight w:val="none"/>
        </w:rPr>
        <w:t>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2、投标人须为一般纳税人,开具13%增值税专用发票。</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pPr>
        <w:spacing w:line="360" w:lineRule="auto"/>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pPr>
        <w:spacing w:line="360" w:lineRule="auto"/>
        <w:ind w:firstLine="480" w:firstLineChars="200"/>
        <w:rPr>
          <w:rFonts w:ascii="仿宋" w:hAnsi="仿宋" w:eastAsia="仿宋" w:cs="仿宋_GB2312"/>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pPr>
        <w:spacing w:line="360" w:lineRule="auto"/>
        <w:jc w:val="center"/>
        <w:rPr>
          <w:rFonts w:ascii="仿宋" w:hAnsi="仿宋" w:eastAsia="仿宋" w:cs="仿宋_GB2312"/>
          <w:b/>
          <w:sz w:val="24"/>
          <w:highlight w:val="none"/>
        </w:rPr>
      </w:pPr>
    </w:p>
    <w:p>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3</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20</w:t>
      </w:r>
      <w:r>
        <w:rPr>
          <w:rFonts w:hint="eastAsia" w:ascii="仿宋" w:hAnsi="仿宋" w:eastAsia="仿宋" w:cs="仿宋_GB2312"/>
          <w:sz w:val="24"/>
          <w:highlight w:val="none"/>
          <w:u w:val="single"/>
        </w:rPr>
        <w:t>日12:00止</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叶明陵（13865621916）、任凡（15656263008）</w:t>
      </w: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color w:val="000000"/>
          <w:sz w:val="24"/>
          <w:highlight w:val="none"/>
          <w:u w:val="single"/>
          <w:lang w:eastAsia="zh-CN"/>
        </w:rPr>
        <w:t>壹万伍仟</w:t>
      </w:r>
      <w:r>
        <w:rPr>
          <w:rFonts w:hint="eastAsia" w:ascii="仿宋" w:hAnsi="仿宋" w:eastAsia="仿宋" w:cs="仿宋_GB2312"/>
          <w:b/>
          <w:bCs/>
          <w:color w:val="000000"/>
          <w:sz w:val="24"/>
          <w:highlight w:val="none"/>
          <w:u w:val="single"/>
        </w:rPr>
        <w:t>元整</w:t>
      </w:r>
      <w:r>
        <w:rPr>
          <w:rFonts w:hint="eastAsia" w:ascii="仿宋" w:hAnsi="仿宋" w:eastAsia="仿宋" w:cs="仿宋_GB2312"/>
          <w:b/>
          <w:bCs/>
          <w:color w:val="000000"/>
          <w:sz w:val="24"/>
          <w:highlight w:val="none"/>
          <w:u w:val="single"/>
          <w:lang w:eastAsia="zh-CN"/>
        </w:rPr>
        <w:t>；</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w:t>
      </w:r>
      <w:r>
        <w:rPr>
          <w:rFonts w:hint="eastAsia" w:ascii="仿宋" w:hAnsi="仿宋" w:eastAsia="仿宋" w:cs="仿宋_GB2312"/>
          <w:b/>
          <w:bCs/>
          <w:sz w:val="24"/>
          <w:highlight w:val="none"/>
          <w:u w:val="single"/>
          <w:lang w:eastAsia="zh-CN"/>
        </w:rPr>
        <w:t>建材公司固化剂材料</w:t>
      </w:r>
      <w:r>
        <w:rPr>
          <w:rFonts w:hint="eastAsia" w:ascii="仿宋" w:hAnsi="仿宋" w:eastAsia="仿宋" w:cs="仿宋_GB2312"/>
          <w:b/>
          <w:bCs/>
          <w:sz w:val="24"/>
          <w:highlight w:val="none"/>
          <w:u w:val="single"/>
        </w:rPr>
        <w:t>TGJA-WZ-2024</w:t>
      </w:r>
      <w:r>
        <w:rPr>
          <w:rFonts w:hint="eastAsia" w:ascii="仿宋" w:hAnsi="仿宋" w:eastAsia="仿宋" w:cs="仿宋_GB2312"/>
          <w:b/>
          <w:bCs/>
          <w:sz w:val="24"/>
          <w:highlight w:val="none"/>
          <w:u w:val="single"/>
          <w:lang w:val="en-US" w:eastAsia="zh-CN"/>
        </w:rPr>
        <w:t>32</w:t>
      </w:r>
      <w:r>
        <w:rPr>
          <w:rFonts w:hint="eastAsia" w:ascii="仿宋" w:hAnsi="仿宋" w:eastAsia="仿宋" w:cs="仿宋_GB2312"/>
          <w:b/>
          <w:bCs/>
          <w:sz w:val="24"/>
          <w:highlight w:val="none"/>
          <w:u w:val="single"/>
        </w:rPr>
        <w:t>投标保证金。</w:t>
      </w:r>
    </w:p>
    <w:p>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3</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21</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pPr>
        <w:spacing w:line="360" w:lineRule="auto"/>
        <w:jc w:val="center"/>
        <w:rPr>
          <w:rFonts w:ascii="仿宋" w:hAnsi="仿宋" w:eastAsia="仿宋" w:cs="仿宋_GB2312"/>
          <w:b/>
          <w:sz w:val="24"/>
          <w:highlight w:val="none"/>
        </w:rPr>
      </w:pP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pPr>
        <w:spacing w:line="360" w:lineRule="auto"/>
        <w:ind w:firstLine="547" w:firstLineChars="228"/>
        <w:rPr>
          <w:rFonts w:hint="eastAsia" w:ascii="仿宋" w:hAnsi="仿宋" w:eastAsia="仿宋" w:cs="仿宋"/>
          <w:sz w:val="24"/>
          <w:szCs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w:t>
      </w:r>
      <w:r>
        <w:rPr>
          <w:rFonts w:hint="eastAsia" w:ascii="仿宋" w:hAnsi="仿宋" w:eastAsia="仿宋" w:cs="仿宋"/>
          <w:sz w:val="24"/>
          <w:szCs w:val="24"/>
          <w:highlight w:val="none"/>
        </w:rPr>
        <w:t>料质量要求</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color w:val="333333"/>
          <w:sz w:val="24"/>
          <w:szCs w:val="24"/>
          <w:shd w:val="clear" w:color="auto" w:fill="FFFFFF"/>
        </w:rPr>
        <w:t>固化剂数量及技术指标要求，5000吨。技术参数：1、外观均匀一致，不应有结块，颜色稳定2、含水率≤1%3、密度≥2.5g/cm34、细度80μm方孔筛余应不大于10%5、凝结时间影响系数比≥100%6、无侧限抗压强度比≥120%7、水稳系数比≥105%8、28d胶结强度≥2.5MPa。参考标准CJ/T 486-2015 ；Q/TGJC01—2022。</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
          <w:sz w:val="24"/>
          <w:szCs w:val="24"/>
          <w:highlight w:val="none"/>
        </w:rPr>
        <w:t>（2）投标人如若中标</w:t>
      </w:r>
      <w:r>
        <w:rPr>
          <w:rFonts w:hint="eastAsia" w:ascii="仿宋" w:hAnsi="仿宋" w:eastAsia="仿宋" w:cs="仿宋_GB2312"/>
          <w:sz w:val="24"/>
          <w:highlight w:val="none"/>
        </w:rPr>
        <w:t>，提供的材料必须符合技术指标要求。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w:t>
      </w:r>
      <w:r>
        <w:rPr>
          <w:rFonts w:hint="eastAsia" w:ascii="仿宋" w:hAnsi="仿宋" w:eastAsia="仿宋" w:cs="仿宋_GB2312"/>
          <w:sz w:val="24"/>
          <w:highlight w:val="none"/>
          <w:lang w:eastAsia="zh-CN"/>
        </w:rPr>
        <w:t>建材</w:t>
      </w:r>
      <w:r>
        <w:rPr>
          <w:rFonts w:hint="eastAsia" w:ascii="仿宋" w:hAnsi="仿宋" w:eastAsia="仿宋" w:cs="仿宋_GB2312"/>
          <w:sz w:val="24"/>
          <w:highlight w:val="none"/>
        </w:rPr>
        <w:t>公司</w:t>
      </w:r>
      <w:r>
        <w:rPr>
          <w:rFonts w:hint="eastAsia" w:ascii="仿宋" w:hAnsi="仿宋" w:eastAsia="仿宋" w:cs="仿宋_GB2312"/>
          <w:sz w:val="24"/>
          <w:highlight w:val="none"/>
          <w:lang w:eastAsia="zh-CN"/>
        </w:rPr>
        <w:t>原料仓内</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1</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本次招标价为含税含运费一票制价格。</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一经中标，合同期内价格不予调整。</w:t>
      </w:r>
    </w:p>
    <w:p>
      <w:pPr>
        <w:spacing w:line="360" w:lineRule="auto"/>
        <w:ind w:firstLine="480" w:firstLineChars="200"/>
        <w:rPr>
          <w:rFonts w:hint="default" w:ascii="仿宋" w:hAnsi="仿宋" w:eastAsia="仿宋" w:cs="仿宋_GB2312"/>
          <w:sz w:val="24"/>
          <w:highlight w:val="none"/>
          <w:lang w:val="en-US" w:eastAsia="zh-CN"/>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3</w:t>
      </w:r>
      <w:r>
        <w:rPr>
          <w:rFonts w:hint="eastAsia" w:ascii="仿宋" w:hAnsi="仿宋" w:eastAsia="仿宋" w:cs="仿宋_GB2312"/>
          <w:sz w:val="24"/>
          <w:highlight w:val="none"/>
          <w:lang w:eastAsia="zh-CN"/>
        </w:rPr>
        <w:t>）拦标价：</w:t>
      </w:r>
      <w:r>
        <w:rPr>
          <w:rFonts w:hint="eastAsia" w:ascii="仿宋" w:hAnsi="仿宋" w:eastAsia="仿宋" w:cs="仿宋_GB2312"/>
          <w:sz w:val="24"/>
          <w:highlight w:val="none"/>
          <w:lang w:val="en-US" w:eastAsia="zh-CN"/>
        </w:rPr>
        <w:t>480元/吨（含13%增值税含运费一票制价格）。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
          <w:color w:val="333333"/>
          <w:sz w:val="24"/>
          <w:szCs w:val="24"/>
          <w:shd w:val="clear" w:color="auto" w:fill="FFFFFF"/>
        </w:rPr>
        <w:t>按照双方磅单量小数为结算数量</w:t>
      </w:r>
      <w:r>
        <w:rPr>
          <w:rFonts w:hint="eastAsia" w:ascii="仿宋" w:hAnsi="仿宋" w:eastAsia="仿宋" w:cs="仿宋"/>
          <w:sz w:val="24"/>
          <w:szCs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pPr>
        <w:spacing w:line="360" w:lineRule="auto"/>
        <w:ind w:firstLine="480" w:firstLineChars="200"/>
        <w:rPr>
          <w:rFonts w:hint="eastAsia" w:ascii="仿宋" w:hAnsi="仿宋" w:eastAsia="仿宋" w:cs="仿宋"/>
          <w:spacing w:val="-17"/>
          <w:sz w:val="24"/>
          <w:szCs w:val="24"/>
          <w:highlight w:val="none"/>
        </w:rPr>
      </w:pPr>
      <w:r>
        <w:rPr>
          <w:rFonts w:hint="eastAsia" w:ascii="仿宋" w:hAnsi="仿宋" w:eastAsia="仿宋" w:cs="仿宋_GB2312"/>
          <w:sz w:val="24"/>
          <w:highlight w:val="none"/>
          <w:u w:val="single"/>
        </w:rPr>
        <w:t>各</w:t>
      </w:r>
      <w:r>
        <w:rPr>
          <w:rFonts w:hint="eastAsia" w:ascii="仿宋" w:hAnsi="仿宋" w:eastAsia="仿宋" w:cs="仿宋"/>
          <w:sz w:val="24"/>
          <w:szCs w:val="24"/>
          <w:highlight w:val="none"/>
          <w:u w:val="single"/>
        </w:rPr>
        <w:t>投标单位报价须谨慎，一旦中标不得以任何理由变更报价</w:t>
      </w:r>
      <w:r>
        <w:rPr>
          <w:rFonts w:hint="eastAsia" w:ascii="仿宋" w:hAnsi="仿宋" w:eastAsia="仿宋" w:cs="仿宋"/>
          <w:spacing w:val="-17"/>
          <w:sz w:val="24"/>
          <w:szCs w:val="24"/>
          <w:highlight w:val="none"/>
          <w:u w:val="single"/>
        </w:rPr>
        <w:t>。</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8、</w:t>
      </w:r>
      <w:r>
        <w:rPr>
          <w:rFonts w:hint="eastAsia" w:ascii="仿宋" w:hAnsi="仿宋" w:eastAsia="仿宋" w:cs="仿宋"/>
          <w:sz w:val="24"/>
          <w:szCs w:val="24"/>
        </w:rPr>
        <w:t>合同签订和付款方式</w:t>
      </w:r>
    </w:p>
    <w:p>
      <w:pPr>
        <w:spacing w:line="360" w:lineRule="auto"/>
        <w:ind w:firstLine="480" w:firstLineChars="200"/>
        <w:rPr>
          <w:rFonts w:hint="eastAsia" w:ascii="仿宋" w:hAnsi="仿宋" w:eastAsia="仿宋" w:cs="仿宋"/>
          <w:b/>
          <w:sz w:val="24"/>
          <w:szCs w:val="24"/>
          <w:highlight w:val="none"/>
          <w:lang w:eastAsia="zh-CN"/>
        </w:rPr>
      </w:pPr>
      <w:r>
        <w:rPr>
          <w:rFonts w:hint="eastAsia" w:ascii="仿宋" w:hAnsi="仿宋" w:eastAsia="仿宋" w:cs="仿宋"/>
          <w:sz w:val="24"/>
          <w:szCs w:val="24"/>
        </w:rPr>
        <w:t>中标单位与铜冠建材公司签订两方合同。付款方式:入账次月支付上月货款的70%，2025年春节前付至90%，余款2025年年底付清。货款以对公转账方式支付至乙方对公账户，支付电汇或不超过合同总金额50%的6个月内电子承兑</w:t>
      </w:r>
      <w:r>
        <w:rPr>
          <w:rFonts w:hint="eastAsia" w:ascii="仿宋" w:hAnsi="仿宋" w:eastAsia="仿宋" w:cs="仿宋"/>
          <w:color w:val="171A1D"/>
          <w:sz w:val="24"/>
          <w:szCs w:val="24"/>
          <w:highlight w:val="none"/>
          <w:u w:val="none"/>
          <w:shd w:val="clear" w:color="auto" w:fill="FFFFFF"/>
          <w:lang w:eastAsia="zh-CN"/>
        </w:rPr>
        <w:t>。</w:t>
      </w:r>
    </w:p>
    <w:p>
      <w:pPr>
        <w:numPr>
          <w:ilvl w:val="0"/>
          <w:numId w:val="3"/>
        </w:numPr>
        <w:spacing w:line="360" w:lineRule="auto"/>
        <w:ind w:firstLine="480" w:firstLineChars="200"/>
        <w:rPr>
          <w:rFonts w:hint="eastAsia" w:ascii="仿宋" w:hAnsi="仿宋" w:eastAsia="仿宋" w:cs="仿宋"/>
          <w:color w:val="333333"/>
          <w:sz w:val="24"/>
          <w:szCs w:val="24"/>
          <w:shd w:val="clear" w:color="auto" w:fill="FFFFFF"/>
        </w:rPr>
      </w:pPr>
      <w:r>
        <w:rPr>
          <w:rFonts w:hint="eastAsia" w:ascii="仿宋" w:hAnsi="仿宋" w:eastAsia="仿宋" w:cs="仿宋"/>
          <w:color w:val="333333"/>
          <w:sz w:val="24"/>
          <w:szCs w:val="24"/>
          <w:shd w:val="clear" w:color="auto" w:fill="FFFFFF"/>
        </w:rPr>
        <w:t>供货要求</w:t>
      </w:r>
    </w:p>
    <w:p>
      <w:pPr>
        <w:spacing w:line="360" w:lineRule="auto"/>
        <w:jc w:val="left"/>
        <w:rPr>
          <w:rFonts w:hint="eastAsia" w:ascii="仿宋" w:hAnsi="仿宋" w:eastAsia="仿宋" w:cs="仿宋"/>
          <w:b/>
          <w:sz w:val="24"/>
          <w:szCs w:val="24"/>
          <w:highlight w:val="none"/>
        </w:rPr>
      </w:pPr>
      <w:r>
        <w:rPr>
          <w:rFonts w:hint="eastAsia" w:ascii="仿宋" w:hAnsi="仿宋" w:eastAsia="仿宋" w:cs="仿宋"/>
          <w:color w:val="333333"/>
          <w:sz w:val="24"/>
          <w:szCs w:val="24"/>
          <w:shd w:val="clear" w:color="auto" w:fill="FFFFFF"/>
          <w:lang w:val="en-US" w:eastAsia="zh-CN"/>
        </w:rPr>
        <w:t xml:space="preserve">    </w:t>
      </w:r>
      <w:r>
        <w:rPr>
          <w:rFonts w:hint="eastAsia" w:ascii="仿宋" w:hAnsi="仿宋" w:eastAsia="仿宋" w:cs="仿宋"/>
          <w:color w:val="333333"/>
          <w:sz w:val="24"/>
          <w:szCs w:val="24"/>
          <w:shd w:val="clear" w:color="auto" w:fill="FFFFFF"/>
        </w:rPr>
        <w:t>1、供应时间：接中标通知后一周内起开始供货，供货期</w:t>
      </w:r>
      <w:r>
        <w:rPr>
          <w:rFonts w:hint="eastAsia" w:ascii="仿宋" w:hAnsi="仿宋" w:eastAsia="仿宋" w:cs="仿宋"/>
          <w:color w:val="333333"/>
          <w:kern w:val="0"/>
          <w:sz w:val="24"/>
          <w:szCs w:val="24"/>
          <w:shd w:val="clear" w:color="auto" w:fill="FFFFFF"/>
        </w:rPr>
        <w:t>2024年4月</w:t>
      </w:r>
      <w:r>
        <w:rPr>
          <w:rFonts w:hint="eastAsia" w:ascii="仿宋" w:hAnsi="仿宋" w:eastAsia="仿宋" w:cs="仿宋"/>
          <w:color w:val="333333"/>
          <w:sz w:val="24"/>
          <w:szCs w:val="24"/>
          <w:shd w:val="clear" w:color="auto" w:fill="FFFFFF"/>
        </w:rPr>
        <w:t>，供货期内按实际用量结算。 2、供货方式：按需方通知分批供应，需方提前两天通过电话、微信等联系方式告知供方供应量。 3、库容量：可容纳200吨。 4、送货联系人：蔡伟18805623792。 5、送货地址：铜陵铜冠建安新型环保建材科技有限公司（翠湖四路与滨江大道交界处） 6、结算数量：每车货物买方复磅，以买卖双方磅单量小者为准结算；供方每月21号与需方核对本月（上月21日至本月20日）供应数量和金额，供应数量按照双方磅单量小数为结算数量，买卖双方共同确认供应数量和金额后在结算单签字盖章。</w:t>
      </w: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1、评标由铜冠建安公司纪委随机临时确定评委并组建的评标委员会负责。</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2、评标原则：评标活动遵循公平、公正、科学和择优的原则。</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3、评标：</w:t>
      </w:r>
      <w:r>
        <w:rPr>
          <w:rFonts w:hint="eastAsia" w:ascii="仿宋" w:hAnsi="仿宋" w:eastAsia="仿宋" w:cs="仿宋_GB2312"/>
          <w:sz w:val="24"/>
          <w:highlight w:val="none"/>
          <w:u w:val="single"/>
        </w:rPr>
        <w:t>本次评标以价格为评标依据，采取“最低价中标法”评标。即以经评委会审核，剔除偏离市场行情较大的恶意报价后的报价进行排序。</w:t>
      </w:r>
      <w:r>
        <w:rPr>
          <w:rFonts w:hint="eastAsia" w:ascii="仿宋" w:hAnsi="仿宋" w:eastAsia="仿宋" w:cs="仿宋_GB2312"/>
          <w:sz w:val="24"/>
          <w:highlight w:val="none"/>
        </w:rPr>
        <w:t>本次招标设置控制价，具体见第八章第4条。</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4、中标候选人推荐：</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评标委员会将根据所有投标人的报价选择最低报价的投标单位为预中标单位。</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5、中标通知：招标人以书面形式向中标人发出中标通知书。</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6、招标人和中标人应当自中标通知书发出之日起</w:t>
      </w:r>
      <w:r>
        <w:rPr>
          <w:rFonts w:hint="eastAsia" w:ascii="仿宋" w:hAnsi="仿宋" w:eastAsia="仿宋" w:cs="仿宋_GB2312"/>
          <w:b/>
          <w:bCs/>
          <w:color w:val="C00000"/>
          <w:sz w:val="24"/>
          <w:highlight w:val="none"/>
        </w:rPr>
        <w:t>7</w:t>
      </w:r>
      <w:r>
        <w:rPr>
          <w:rFonts w:hint="eastAsia" w:ascii="仿宋" w:hAnsi="仿宋" w:eastAsia="仿宋" w:cs="仿宋_GB2312"/>
          <w:sz w:val="24"/>
          <w:highlight w:val="none"/>
        </w:rPr>
        <w:t>日内，按照招标文件和中标人的投标文件订立书面合同，招标人和中标人不得再行订立背离本次招标实质性内容的其他协议。</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pPr>
        <w:pStyle w:val="20"/>
        <w:spacing w:line="360" w:lineRule="auto"/>
        <w:rPr>
          <w:rFonts w:ascii="仿宋" w:hAnsi="仿宋" w:eastAsia="仿宋"/>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360" w:lineRule="auto"/>
        <w:ind w:firstLine="480" w:firstLineChars="200"/>
        <w:rPr>
          <w:rFonts w:ascii="仿宋" w:hAnsi="仿宋" w:eastAsia="仿宋"/>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pPr>
        <w:spacing w:line="360" w:lineRule="auto"/>
        <w:ind w:firstLine="480" w:firstLineChars="200"/>
        <w:rPr>
          <w:rFonts w:ascii="仿宋" w:hAnsi="仿宋" w:eastAsia="仿宋" w:cs="仿宋_GB2312"/>
          <w:sz w:val="24"/>
          <w:highlight w:val="none"/>
        </w:rPr>
      </w:pP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pPr>
        <w:spacing w:line="360" w:lineRule="auto"/>
        <w:ind w:firstLine="480" w:firstLineChars="200"/>
        <w:rPr>
          <w:rFonts w:ascii="仿宋" w:hAnsi="仿宋" w:eastAsia="仿宋" w:cs="仿宋_GB2312"/>
          <w:sz w:val="24"/>
          <w:highlight w:val="none"/>
        </w:rPr>
      </w:pPr>
    </w:p>
    <w:p>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pPr>
        <w:widowControl/>
        <w:numPr>
          <w:ilvl w:val="0"/>
          <w:numId w:val="4"/>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pPr>
        <w:widowControl/>
        <w:numPr>
          <w:ilvl w:val="0"/>
          <w:numId w:val="4"/>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pPr>
        <w:widowControl/>
        <w:numPr>
          <w:ilvl w:val="0"/>
          <w:numId w:val="4"/>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pPr>
        <w:widowControl/>
        <w:numPr>
          <w:ilvl w:val="0"/>
          <w:numId w:val="4"/>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pPr>
        <w:widowControl/>
        <w:numPr>
          <w:ilvl w:val="0"/>
          <w:numId w:val="4"/>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 w:hAnsi="仿宋" w:eastAsia="仿宋" w:cs="仿宋_GB2312"/>
          <w:color w:val="000000"/>
          <w:sz w:val="24"/>
          <w:highlight w:val="none"/>
          <w:u w:val="single"/>
        </w:rPr>
      </w:pPr>
    </w:p>
    <w:p>
      <w:pPr>
        <w:spacing w:line="360" w:lineRule="auto"/>
        <w:ind w:firstLine="4560" w:firstLineChars="1900"/>
        <w:rPr>
          <w:rFonts w:ascii="仿宋" w:hAnsi="仿宋" w:eastAsia="仿宋" w:cs="仿宋_GB2312"/>
          <w:sz w:val="24"/>
          <w:highlight w:val="none"/>
        </w:rPr>
      </w:pP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32</w:t>
      </w:r>
      <w:r>
        <w:rPr>
          <w:rFonts w:hint="eastAsia" w:ascii="仿宋" w:hAnsi="仿宋" w:eastAsia="仿宋"/>
          <w:b/>
          <w:sz w:val="28"/>
          <w:szCs w:val="28"/>
          <w:highlight w:val="none"/>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2112"/>
        <w:gridCol w:w="2250"/>
        <w:gridCol w:w="650"/>
        <w:gridCol w:w="263"/>
        <w:gridCol w:w="989"/>
        <w:gridCol w:w="1293"/>
        <w:gridCol w:w="1418"/>
        <w:gridCol w:w="1275"/>
        <w:gridCol w:w="1055"/>
        <w:gridCol w:w="1301"/>
        <w:gridCol w:w="23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52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112"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2250"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913"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989"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129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含税含运费单价*</w:t>
            </w:r>
          </w:p>
        </w:tc>
        <w:tc>
          <w:tcPr>
            <w:tcW w:w="1418"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含税含运费</w:t>
            </w:r>
          </w:p>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金额*</w:t>
            </w:r>
          </w:p>
        </w:tc>
        <w:tc>
          <w:tcPr>
            <w:tcW w:w="1275"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是否为增值税专用发票*</w:t>
            </w:r>
          </w:p>
        </w:tc>
        <w:tc>
          <w:tcPr>
            <w:tcW w:w="2314"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right"/>
              <w:textAlignment w:val="center"/>
              <w:rPr>
                <w:rFonts w:hint="eastAsia" w:ascii="仿宋" w:hAnsi="仿宋" w:eastAsia="仿宋" w:cs="仿宋"/>
                <w:color w:val="auto"/>
                <w:sz w:val="24"/>
                <w:szCs w:val="24"/>
                <w:highlight w:val="none"/>
              </w:rPr>
            </w:pPr>
            <w:r>
              <w:rPr>
                <w:rFonts w:hint="eastAsia" w:ascii="仿宋" w:hAnsi="仿宋" w:eastAsia="仿宋" w:cs="仿宋"/>
                <w:i w:val="0"/>
                <w:color w:val="auto"/>
                <w:kern w:val="0"/>
                <w:sz w:val="24"/>
                <w:szCs w:val="24"/>
                <w:u w:val="none"/>
                <w:lang w:val="en-US" w:eastAsia="zh-CN" w:bidi="ar"/>
              </w:rPr>
              <w:t>1</w:t>
            </w:r>
          </w:p>
        </w:tc>
        <w:tc>
          <w:tcPr>
            <w:tcW w:w="2112"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固化剂</w:t>
            </w:r>
          </w:p>
        </w:tc>
        <w:tc>
          <w:tcPr>
            <w:tcW w:w="225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p>
        </w:tc>
        <w:tc>
          <w:tcPr>
            <w:tcW w:w="913"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吨</w:t>
            </w:r>
          </w:p>
        </w:tc>
        <w:tc>
          <w:tcPr>
            <w:tcW w:w="989" w:type="dxa"/>
            <w:vAlign w:val="center"/>
          </w:tcPr>
          <w:p>
            <w:pPr>
              <w:keepNext w:val="0"/>
              <w:keepLines w:val="0"/>
              <w:widowControl/>
              <w:suppressLineNumbers w:val="0"/>
              <w:jc w:val="center"/>
              <w:textAlignment w:val="center"/>
              <w:rPr>
                <w:rFonts w:hint="default" w:ascii="仿宋" w:hAnsi="仿宋" w:eastAsia="仿宋" w:cs="仿宋"/>
                <w:color w:val="auto"/>
                <w:sz w:val="24"/>
                <w:szCs w:val="24"/>
                <w:highlight w:val="none"/>
                <w:lang w:val="en-US"/>
              </w:rPr>
            </w:pPr>
            <w:r>
              <w:rPr>
                <w:rFonts w:hint="eastAsia" w:ascii="仿宋" w:hAnsi="仿宋" w:eastAsia="仿宋" w:cs="仿宋"/>
                <w:i w:val="0"/>
                <w:color w:val="000000"/>
                <w:kern w:val="0"/>
                <w:sz w:val="24"/>
                <w:szCs w:val="24"/>
                <w:u w:val="none"/>
                <w:lang w:val="en-US" w:eastAsia="zh-CN" w:bidi="ar"/>
              </w:rPr>
              <w:t>1500</w:t>
            </w:r>
          </w:p>
        </w:tc>
        <w:tc>
          <w:tcPr>
            <w:tcW w:w="1293" w:type="dxa"/>
            <w:vAlign w:val="center"/>
          </w:tcPr>
          <w:p>
            <w:pPr>
              <w:spacing w:line="400" w:lineRule="exact"/>
              <w:jc w:val="center"/>
              <w:rPr>
                <w:rFonts w:hint="eastAsia" w:ascii="仿宋" w:hAnsi="仿宋" w:eastAsia="仿宋" w:cs="仿宋"/>
                <w:color w:val="auto"/>
                <w:sz w:val="24"/>
                <w:szCs w:val="24"/>
                <w:highlight w:val="none"/>
              </w:rPr>
            </w:pP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w:t>
            </w:r>
          </w:p>
        </w:tc>
        <w:tc>
          <w:tcPr>
            <w:tcW w:w="2356" w:type="dxa"/>
            <w:gridSpan w:val="2"/>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是</w:t>
            </w:r>
          </w:p>
        </w:tc>
        <w:tc>
          <w:tcPr>
            <w:tcW w:w="2314" w:type="dxa"/>
            <w:vAlign w:val="center"/>
          </w:tcPr>
          <w:p>
            <w:pPr>
              <w:widowControl/>
              <w:jc w:val="center"/>
              <w:textAlignment w:val="center"/>
              <w:rPr>
                <w:rFonts w:hint="eastAsia" w:ascii="仿宋" w:hAnsi="仿宋" w:eastAsia="仿宋" w:cs="仿宋"/>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cs="仿宋"/>
                <w:sz w:val="24"/>
                <w:szCs w:val="24"/>
                <w:highlight w:val="none"/>
              </w:rPr>
            </w:pPr>
          </w:p>
        </w:tc>
        <w:tc>
          <w:tcPr>
            <w:tcW w:w="7557" w:type="dxa"/>
            <w:gridSpan w:val="6"/>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合计：</w:t>
            </w:r>
          </w:p>
        </w:tc>
        <w:tc>
          <w:tcPr>
            <w:tcW w:w="1418" w:type="dxa"/>
            <w:vAlign w:val="center"/>
          </w:tcPr>
          <w:p>
            <w:pPr>
              <w:spacing w:line="400" w:lineRule="exact"/>
              <w:jc w:val="center"/>
              <w:rPr>
                <w:rFonts w:hint="eastAsia" w:ascii="仿宋" w:hAnsi="仿宋" w:eastAsia="仿宋" w:cs="仿宋"/>
                <w:sz w:val="24"/>
                <w:szCs w:val="24"/>
                <w:highlight w:val="none"/>
              </w:rPr>
            </w:pPr>
          </w:p>
        </w:tc>
        <w:tc>
          <w:tcPr>
            <w:tcW w:w="1275" w:type="dxa"/>
            <w:vAlign w:val="center"/>
          </w:tcPr>
          <w:p>
            <w:pPr>
              <w:spacing w:line="400" w:lineRule="exact"/>
              <w:jc w:val="center"/>
              <w:rPr>
                <w:rFonts w:hint="eastAsia" w:ascii="仿宋" w:hAnsi="仿宋" w:eastAsia="仿宋" w:cs="仿宋"/>
                <w:sz w:val="24"/>
                <w:szCs w:val="24"/>
                <w:highlight w:val="none"/>
              </w:rPr>
            </w:pPr>
          </w:p>
        </w:tc>
        <w:tc>
          <w:tcPr>
            <w:tcW w:w="2356" w:type="dxa"/>
            <w:gridSpan w:val="2"/>
            <w:vAlign w:val="center"/>
          </w:tcPr>
          <w:p>
            <w:pPr>
              <w:spacing w:line="400" w:lineRule="exact"/>
              <w:jc w:val="center"/>
              <w:rPr>
                <w:rFonts w:hint="eastAsia" w:ascii="仿宋" w:hAnsi="仿宋" w:eastAsia="仿宋" w:cs="仿宋"/>
                <w:sz w:val="24"/>
                <w:szCs w:val="24"/>
                <w:highlight w:val="none"/>
              </w:rPr>
            </w:pPr>
          </w:p>
        </w:tc>
        <w:tc>
          <w:tcPr>
            <w:tcW w:w="2314" w:type="dxa"/>
            <w:vAlign w:val="center"/>
          </w:tcPr>
          <w:p>
            <w:pPr>
              <w:widowControl/>
              <w:jc w:val="center"/>
              <w:textAlignment w:val="center"/>
              <w:rPr>
                <w:rFonts w:hint="eastAsia" w:ascii="仿宋" w:hAnsi="仿宋" w:eastAsia="仿宋" w:cs="仿宋"/>
                <w:color w:val="000000"/>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2" w:hRule="atLeast"/>
        </w:trPr>
        <w:tc>
          <w:tcPr>
            <w:tcW w:w="15443" w:type="dxa"/>
            <w:gridSpan w:val="12"/>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auto"/>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pPr>
              <w:spacing w:line="400" w:lineRule="exact"/>
              <w:ind w:firstLine="720" w:firstLineChars="30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5535" w:type="dxa"/>
            <w:gridSpan w:val="4"/>
            <w:vMerge w:val="restart"/>
            <w:vAlign w:val="center"/>
          </w:tcPr>
          <w:p>
            <w:pPr>
              <w:spacing w:line="400" w:lineRule="exact"/>
              <w:ind w:firstLine="240" w:firstLineChars="100"/>
              <w:rPr>
                <w:rFonts w:ascii="仿宋" w:hAnsi="仿宋" w:eastAsia="仿宋"/>
                <w:sz w:val="24"/>
                <w:highlight w:val="none"/>
              </w:rPr>
            </w:pPr>
            <w:r>
              <w:rPr>
                <w:rFonts w:hint="eastAsia" w:ascii="仿宋" w:hAnsi="仿宋" w:eastAsia="仿宋"/>
                <w:sz w:val="24"/>
                <w:highlight w:val="none"/>
              </w:rPr>
              <w:t>投标单位（公章）</w:t>
            </w:r>
          </w:p>
        </w:tc>
        <w:tc>
          <w:tcPr>
            <w:tcW w:w="3963" w:type="dxa"/>
            <w:gridSpan w:val="4"/>
            <w:vAlign w:val="center"/>
          </w:tcPr>
          <w:p>
            <w:pPr>
              <w:spacing w:line="400" w:lineRule="exact"/>
              <w:rPr>
                <w:rFonts w:ascii="仿宋" w:hAnsi="仿宋" w:eastAsia="仿宋"/>
                <w:sz w:val="24"/>
                <w:highlight w:val="none"/>
              </w:rPr>
            </w:pPr>
            <w:r>
              <w:rPr>
                <w:rFonts w:hint="eastAsia" w:ascii="仿宋" w:hAnsi="仿宋" w:eastAsia="仿宋"/>
                <w:sz w:val="24"/>
                <w:highlight w:val="none"/>
              </w:rPr>
              <w:t>法定代表人或授权委托人</w:t>
            </w:r>
          </w:p>
        </w:tc>
        <w:tc>
          <w:tcPr>
            <w:tcW w:w="5945" w:type="dxa"/>
            <w:gridSpan w:val="4"/>
            <w:vAlign w:val="center"/>
          </w:tcPr>
          <w:p>
            <w:pPr>
              <w:spacing w:line="400" w:lineRule="exact"/>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535" w:type="dxa"/>
            <w:gridSpan w:val="4"/>
            <w:vMerge w:val="continue"/>
            <w:vAlign w:val="center"/>
          </w:tcPr>
          <w:p>
            <w:pPr>
              <w:spacing w:line="400" w:lineRule="exact"/>
              <w:rPr>
                <w:rFonts w:ascii="仿宋" w:hAnsi="仿宋" w:eastAsia="仿宋"/>
                <w:sz w:val="24"/>
                <w:highlight w:val="none"/>
              </w:rPr>
            </w:pPr>
          </w:p>
        </w:tc>
        <w:tc>
          <w:tcPr>
            <w:tcW w:w="3963" w:type="dxa"/>
            <w:gridSpan w:val="4"/>
            <w:vMerge w:val="restart"/>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联系方式</w:t>
            </w:r>
          </w:p>
        </w:tc>
        <w:tc>
          <w:tcPr>
            <w:tcW w:w="2330" w:type="dxa"/>
            <w:gridSpan w:val="2"/>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电话</w:t>
            </w:r>
          </w:p>
        </w:tc>
        <w:tc>
          <w:tcPr>
            <w:tcW w:w="3615" w:type="dxa"/>
            <w:gridSpan w:val="2"/>
            <w:vAlign w:val="center"/>
          </w:tcPr>
          <w:p>
            <w:pPr>
              <w:spacing w:line="400" w:lineRule="exact"/>
              <w:rPr>
                <w:rFonts w:ascii="仿宋" w:hAnsi="仿宋" w:eastAsia="仿宋"/>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535" w:type="dxa"/>
            <w:gridSpan w:val="4"/>
            <w:vMerge w:val="continue"/>
            <w:vAlign w:val="center"/>
          </w:tcPr>
          <w:p>
            <w:pPr>
              <w:spacing w:line="400" w:lineRule="exact"/>
              <w:rPr>
                <w:rFonts w:ascii="仿宋" w:hAnsi="仿宋" w:eastAsia="仿宋"/>
                <w:sz w:val="24"/>
                <w:highlight w:val="none"/>
              </w:rPr>
            </w:pPr>
          </w:p>
        </w:tc>
        <w:tc>
          <w:tcPr>
            <w:tcW w:w="3963" w:type="dxa"/>
            <w:gridSpan w:val="4"/>
            <w:vMerge w:val="continue"/>
            <w:vAlign w:val="center"/>
          </w:tcPr>
          <w:p>
            <w:pPr>
              <w:spacing w:line="400" w:lineRule="exact"/>
              <w:jc w:val="center"/>
              <w:rPr>
                <w:rFonts w:ascii="仿宋" w:hAnsi="仿宋" w:eastAsia="仿宋"/>
                <w:sz w:val="24"/>
                <w:highlight w:val="none"/>
              </w:rPr>
            </w:pPr>
          </w:p>
        </w:tc>
        <w:tc>
          <w:tcPr>
            <w:tcW w:w="2330" w:type="dxa"/>
            <w:gridSpan w:val="2"/>
            <w:vAlign w:val="center"/>
          </w:tcPr>
          <w:p>
            <w:pPr>
              <w:spacing w:line="400" w:lineRule="exact"/>
              <w:jc w:val="center"/>
              <w:rPr>
                <w:rFonts w:ascii="仿宋" w:hAnsi="仿宋" w:eastAsia="仿宋"/>
                <w:sz w:val="24"/>
                <w:highlight w:val="none"/>
              </w:rPr>
            </w:pPr>
            <w:r>
              <w:rPr>
                <w:rFonts w:hint="eastAsia" w:ascii="仿宋" w:hAnsi="仿宋" w:eastAsia="仿宋"/>
                <w:sz w:val="24"/>
                <w:highlight w:val="none"/>
              </w:rPr>
              <w:t>邮箱</w:t>
            </w:r>
          </w:p>
        </w:tc>
        <w:tc>
          <w:tcPr>
            <w:tcW w:w="3615" w:type="dxa"/>
            <w:gridSpan w:val="2"/>
            <w:vAlign w:val="center"/>
          </w:tcPr>
          <w:p>
            <w:pPr>
              <w:spacing w:line="400" w:lineRule="exact"/>
              <w:rPr>
                <w:rFonts w:ascii="仿宋" w:hAnsi="仿宋" w:eastAsia="仿宋"/>
                <w:sz w:val="24"/>
                <w:highlight w:val="none"/>
              </w:rPr>
            </w:pPr>
          </w:p>
        </w:tc>
      </w:tr>
    </w:tbl>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p>
      <w:pPr>
        <w:spacing w:line="400" w:lineRule="exact"/>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102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10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OqXm5zwAA&#10;AAUBAAAPAAAAAAAAAAEAIAAAACIAAABkcnMvZG93bnJldi54bWxQSwECFAAUAAAACACHTuJAi+dJ&#10;l7UBAABcAwAADgAAAAAAAAABACAAAAAeAQAAZHJzL2Uyb0RvYy54bWxQSwUGAAAAAAYABgBZAQAA&#10;RQUAA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szCs w:val="18"/>
      </w:rPr>
      <w:drawing>
        <wp:inline distT="0" distB="0" distL="114300" distR="114300">
          <wp:extent cx="228600" cy="209550"/>
          <wp:effectExtent l="0" t="0" r="0" b="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r>
      <w:rPr>
        <w:sz w:val="18"/>
        <w:szCs w:val="18"/>
        <w:u w:val="single"/>
      </w:rPr>
      <w:drawing>
        <wp:inline distT="0" distB="0" distL="114300" distR="114300">
          <wp:extent cx="228600" cy="209550"/>
          <wp:effectExtent l="0" t="0" r="0" b="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CA107170"/>
    <w:multiLevelType w:val="singleLevel"/>
    <w:tmpl w:val="CA107170"/>
    <w:lvl w:ilvl="0" w:tentative="0">
      <w:start w:val="9"/>
      <w:numFmt w:val="decimal"/>
      <w:suff w:val="nothing"/>
      <w:lvlText w:val="%1、"/>
      <w:lvlJc w:val="left"/>
    </w:lvl>
  </w:abstractNum>
  <w:abstractNum w:abstractNumId="2">
    <w:nsid w:val="2BEA27D7"/>
    <w:multiLevelType w:val="singleLevel"/>
    <w:tmpl w:val="2BEA27D7"/>
    <w:lvl w:ilvl="0" w:tentative="0">
      <w:start w:val="6"/>
      <w:numFmt w:val="decimal"/>
      <w:suff w:val="nothing"/>
      <w:lvlText w:val="%1、"/>
      <w:lvlJc w:val="left"/>
    </w:lvl>
  </w:abstractNum>
  <w:abstractNum w:abstractNumId="3">
    <w:nsid w:val="438B66A3"/>
    <w:multiLevelType w:val="multilevel"/>
    <w:tmpl w:val="438B66A3"/>
    <w:lvl w:ilvl="0" w:tentative="0">
      <w:start w:val="1"/>
      <w:numFmt w:val="decimal"/>
      <w:pStyle w:val="61"/>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881933"/>
    <w:rsid w:val="01A2719B"/>
    <w:rsid w:val="01AF2C21"/>
    <w:rsid w:val="02FD4E76"/>
    <w:rsid w:val="03012A46"/>
    <w:rsid w:val="035F6345"/>
    <w:rsid w:val="036C34DA"/>
    <w:rsid w:val="03D355F0"/>
    <w:rsid w:val="03FA629B"/>
    <w:rsid w:val="05011011"/>
    <w:rsid w:val="053E62C7"/>
    <w:rsid w:val="05BF33B5"/>
    <w:rsid w:val="061F198A"/>
    <w:rsid w:val="076B4827"/>
    <w:rsid w:val="08FD0B6A"/>
    <w:rsid w:val="095B20FD"/>
    <w:rsid w:val="09F87FE5"/>
    <w:rsid w:val="0B2B537E"/>
    <w:rsid w:val="0B8E7401"/>
    <w:rsid w:val="0C6241B2"/>
    <w:rsid w:val="0CA911C7"/>
    <w:rsid w:val="0D2B4E23"/>
    <w:rsid w:val="0E2061B7"/>
    <w:rsid w:val="0E876D2F"/>
    <w:rsid w:val="0EC82FD7"/>
    <w:rsid w:val="0FB34554"/>
    <w:rsid w:val="10181623"/>
    <w:rsid w:val="107E735A"/>
    <w:rsid w:val="124C3C1F"/>
    <w:rsid w:val="12A820AD"/>
    <w:rsid w:val="13377E0F"/>
    <w:rsid w:val="13945E07"/>
    <w:rsid w:val="15737884"/>
    <w:rsid w:val="15750C31"/>
    <w:rsid w:val="16B948A5"/>
    <w:rsid w:val="17D86D23"/>
    <w:rsid w:val="17F4775E"/>
    <w:rsid w:val="18AF15FD"/>
    <w:rsid w:val="18F44CAE"/>
    <w:rsid w:val="19E94006"/>
    <w:rsid w:val="1ACA153B"/>
    <w:rsid w:val="1BBF797C"/>
    <w:rsid w:val="1DB63303"/>
    <w:rsid w:val="1DE26149"/>
    <w:rsid w:val="1DEE2CCA"/>
    <w:rsid w:val="1EB92EF2"/>
    <w:rsid w:val="1F17125C"/>
    <w:rsid w:val="1FAB30E7"/>
    <w:rsid w:val="2037683E"/>
    <w:rsid w:val="20637B7A"/>
    <w:rsid w:val="21115412"/>
    <w:rsid w:val="21A61884"/>
    <w:rsid w:val="221B22F9"/>
    <w:rsid w:val="221D09FC"/>
    <w:rsid w:val="22F91AE6"/>
    <w:rsid w:val="25590EC9"/>
    <w:rsid w:val="257F4BF0"/>
    <w:rsid w:val="25917440"/>
    <w:rsid w:val="25A13254"/>
    <w:rsid w:val="262F357C"/>
    <w:rsid w:val="2659211B"/>
    <w:rsid w:val="26653D1D"/>
    <w:rsid w:val="266C56F3"/>
    <w:rsid w:val="26A26CEB"/>
    <w:rsid w:val="27235E7D"/>
    <w:rsid w:val="276F4E38"/>
    <w:rsid w:val="2834446C"/>
    <w:rsid w:val="28B84042"/>
    <w:rsid w:val="299D4A4C"/>
    <w:rsid w:val="2A1902C2"/>
    <w:rsid w:val="2C6224E4"/>
    <w:rsid w:val="2C995D0F"/>
    <w:rsid w:val="2D3E7816"/>
    <w:rsid w:val="2DC36D5F"/>
    <w:rsid w:val="2F2E5F52"/>
    <w:rsid w:val="2F3E6548"/>
    <w:rsid w:val="2FF670DA"/>
    <w:rsid w:val="30481183"/>
    <w:rsid w:val="30D974B7"/>
    <w:rsid w:val="31E01407"/>
    <w:rsid w:val="325F16D7"/>
    <w:rsid w:val="32AD73EB"/>
    <w:rsid w:val="333663C1"/>
    <w:rsid w:val="34375693"/>
    <w:rsid w:val="345F01FB"/>
    <w:rsid w:val="346848DB"/>
    <w:rsid w:val="351E319F"/>
    <w:rsid w:val="354F3A99"/>
    <w:rsid w:val="357B16F3"/>
    <w:rsid w:val="36050FAB"/>
    <w:rsid w:val="364A4B51"/>
    <w:rsid w:val="367176A6"/>
    <w:rsid w:val="36A24328"/>
    <w:rsid w:val="36DC6FE4"/>
    <w:rsid w:val="385E4AD7"/>
    <w:rsid w:val="3A076D9E"/>
    <w:rsid w:val="3A3173ED"/>
    <w:rsid w:val="3B076549"/>
    <w:rsid w:val="3B82173E"/>
    <w:rsid w:val="3C5B75D3"/>
    <w:rsid w:val="3C7823C8"/>
    <w:rsid w:val="3CA42746"/>
    <w:rsid w:val="3DCC4487"/>
    <w:rsid w:val="3E474521"/>
    <w:rsid w:val="3E583AD2"/>
    <w:rsid w:val="3FD0292A"/>
    <w:rsid w:val="3FF77603"/>
    <w:rsid w:val="404F30BF"/>
    <w:rsid w:val="413C763F"/>
    <w:rsid w:val="41B14926"/>
    <w:rsid w:val="41B46B47"/>
    <w:rsid w:val="41DA5117"/>
    <w:rsid w:val="424B79E0"/>
    <w:rsid w:val="425704D3"/>
    <w:rsid w:val="42FA2D1F"/>
    <w:rsid w:val="434963F7"/>
    <w:rsid w:val="436B2C00"/>
    <w:rsid w:val="439F612A"/>
    <w:rsid w:val="441344E9"/>
    <w:rsid w:val="44842956"/>
    <w:rsid w:val="44B922E9"/>
    <w:rsid w:val="45086E27"/>
    <w:rsid w:val="465E02D2"/>
    <w:rsid w:val="48120ABB"/>
    <w:rsid w:val="48FC1957"/>
    <w:rsid w:val="499D4ACB"/>
    <w:rsid w:val="4AED5A83"/>
    <w:rsid w:val="4BC1413C"/>
    <w:rsid w:val="4C656785"/>
    <w:rsid w:val="4DFA18E0"/>
    <w:rsid w:val="4DFD24AF"/>
    <w:rsid w:val="4E822997"/>
    <w:rsid w:val="4ED20DFA"/>
    <w:rsid w:val="4F0F5DA2"/>
    <w:rsid w:val="4F397E6D"/>
    <w:rsid w:val="4FFE0E94"/>
    <w:rsid w:val="504C2BE7"/>
    <w:rsid w:val="51174B5C"/>
    <w:rsid w:val="51B50E5A"/>
    <w:rsid w:val="525C4A73"/>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EE27322"/>
    <w:rsid w:val="60921071"/>
    <w:rsid w:val="60F035C2"/>
    <w:rsid w:val="623446C7"/>
    <w:rsid w:val="633441F6"/>
    <w:rsid w:val="6352429E"/>
    <w:rsid w:val="63A94A71"/>
    <w:rsid w:val="63E45615"/>
    <w:rsid w:val="645A1DAF"/>
    <w:rsid w:val="64940258"/>
    <w:rsid w:val="64940A1E"/>
    <w:rsid w:val="69021DF3"/>
    <w:rsid w:val="698348FA"/>
    <w:rsid w:val="69AD4D95"/>
    <w:rsid w:val="6A1720C7"/>
    <w:rsid w:val="6A315ABB"/>
    <w:rsid w:val="6A43654D"/>
    <w:rsid w:val="6A87598F"/>
    <w:rsid w:val="6E1970B9"/>
    <w:rsid w:val="6F763902"/>
    <w:rsid w:val="6FE30FB3"/>
    <w:rsid w:val="703849D5"/>
    <w:rsid w:val="711712EF"/>
    <w:rsid w:val="7180640A"/>
    <w:rsid w:val="71896340"/>
    <w:rsid w:val="71A978B5"/>
    <w:rsid w:val="71F35AC2"/>
    <w:rsid w:val="72B81640"/>
    <w:rsid w:val="72DA2E30"/>
    <w:rsid w:val="74B57A97"/>
    <w:rsid w:val="7574564B"/>
    <w:rsid w:val="77A946B8"/>
    <w:rsid w:val="77B14F43"/>
    <w:rsid w:val="792A1CCE"/>
    <w:rsid w:val="793439F5"/>
    <w:rsid w:val="796E3D99"/>
    <w:rsid w:val="7B8D7C88"/>
    <w:rsid w:val="7C252C88"/>
    <w:rsid w:val="7C764322"/>
    <w:rsid w:val="7D7773AC"/>
    <w:rsid w:val="7DCA16A4"/>
    <w:rsid w:val="7E696C29"/>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0"/>
    <w:qFormat/>
    <w:uiPriority w:val="0"/>
    <w:pPr>
      <w:keepNext/>
      <w:keepLines/>
      <w:spacing w:line="576" w:lineRule="auto"/>
      <w:outlineLvl w:val="0"/>
    </w:pPr>
    <w:rPr>
      <w:b/>
      <w:bCs/>
      <w:kern w:val="44"/>
      <w:sz w:val="44"/>
      <w:szCs w:val="44"/>
    </w:rPr>
  </w:style>
  <w:style w:type="paragraph" w:styleId="3">
    <w:name w:val="heading 2"/>
    <w:basedOn w:val="1"/>
    <w:next w:val="1"/>
    <w:link w:val="146"/>
    <w:qFormat/>
    <w:uiPriority w:val="0"/>
    <w:pPr>
      <w:keepNext/>
      <w:keepLines/>
      <w:spacing w:line="415" w:lineRule="auto"/>
      <w:outlineLvl w:val="1"/>
    </w:pPr>
    <w:rPr>
      <w:rFonts w:ascii="Arial" w:hAnsi="Arial" w:eastAsia="黑体"/>
      <w:b/>
      <w:bCs/>
      <w:sz w:val="32"/>
      <w:szCs w:val="32"/>
    </w:rPr>
  </w:style>
  <w:style w:type="paragraph" w:styleId="4">
    <w:name w:val="heading 3"/>
    <w:basedOn w:val="1"/>
    <w:next w:val="1"/>
    <w:link w:val="126"/>
    <w:qFormat/>
    <w:uiPriority w:val="0"/>
    <w:pPr>
      <w:keepNext/>
      <w:keepLines/>
      <w:spacing w:line="415" w:lineRule="auto"/>
      <w:outlineLvl w:val="2"/>
    </w:pPr>
    <w:rPr>
      <w:b/>
      <w:bCs/>
      <w:sz w:val="32"/>
      <w:szCs w:val="32"/>
    </w:rPr>
  </w:style>
  <w:style w:type="paragraph" w:styleId="5">
    <w:name w:val="heading 4"/>
    <w:basedOn w:val="1"/>
    <w:next w:val="1"/>
    <w:link w:val="138"/>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25"/>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5"/>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link w:val="144"/>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link w:val="149"/>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link w:val="113"/>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12"/>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28"/>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18"/>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24"/>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1"/>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2"/>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7"/>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6">
    <w:name w:val="样式3"/>
    <w:basedOn w:val="4"/>
    <w:qFormat/>
    <w:uiPriority w:val="0"/>
    <w:rPr>
      <w:rFonts w:eastAsia="Arial"/>
    </w:rPr>
  </w:style>
  <w:style w:type="paragraph" w:customStyle="1" w:styleId="57">
    <w:name w:val="Char4"/>
    <w:basedOn w:val="1"/>
    <w:qFormat/>
    <w:uiPriority w:val="0"/>
    <w:pPr>
      <w:spacing w:line="360" w:lineRule="auto"/>
      <w:ind w:firstLine="200" w:firstLineChars="200"/>
    </w:pPr>
    <w:rPr>
      <w:rFonts w:ascii="Arial" w:hAnsi="Arial" w:cs="Arial"/>
      <w:sz w:val="24"/>
    </w:rPr>
  </w:style>
  <w:style w:type="paragraph" w:customStyle="1" w:styleId="58">
    <w:name w:val="标题4"/>
    <w:basedOn w:val="3"/>
    <w:next w:val="23"/>
    <w:link w:val="135"/>
    <w:qFormat/>
    <w:uiPriority w:val="0"/>
    <w:pPr>
      <w:spacing w:line="413" w:lineRule="auto"/>
    </w:pPr>
    <w:rPr>
      <w:rFonts w:eastAsia="宋体"/>
      <w:kern w:val="0"/>
      <w:sz w:val="24"/>
    </w:rPr>
  </w:style>
  <w:style w:type="paragraph" w:customStyle="1" w:styleId="59">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0">
    <w:name w:val="Char Char Char Char Char"/>
    <w:basedOn w:val="1"/>
    <w:qFormat/>
    <w:uiPriority w:val="0"/>
    <w:pPr>
      <w:tabs>
        <w:tab w:val="left" w:pos="1360"/>
      </w:tabs>
      <w:ind w:left="1360" w:hanging="720"/>
    </w:pPr>
    <w:rPr>
      <w:szCs w:val="20"/>
    </w:rPr>
  </w:style>
  <w:style w:type="paragraph" w:customStyle="1" w:styleId="61">
    <w:name w:val="XW编号正文"/>
    <w:basedOn w:val="62"/>
    <w:qFormat/>
    <w:uiPriority w:val="0"/>
    <w:pPr>
      <w:numPr>
        <w:ilvl w:val="0"/>
        <w:numId w:val="1"/>
      </w:numPr>
      <w:tabs>
        <w:tab w:val="left" w:pos="1035"/>
        <w:tab w:val="left" w:pos="1134"/>
      </w:tabs>
      <w:ind w:left="1035" w:hanging="720"/>
      <w:jc w:val="left"/>
    </w:pPr>
  </w:style>
  <w:style w:type="paragraph" w:customStyle="1" w:styleId="62">
    <w:name w:val="XW正文"/>
    <w:basedOn w:val="21"/>
    <w:qFormat/>
    <w:uiPriority w:val="0"/>
    <w:pPr>
      <w:adjustRightInd w:val="0"/>
      <w:spacing w:line="300" w:lineRule="auto"/>
      <w:ind w:left="0" w:leftChars="0" w:firstLine="454"/>
      <w:textAlignment w:val="baseline"/>
    </w:pPr>
    <w:rPr>
      <w:szCs w:val="20"/>
    </w:rPr>
  </w:style>
  <w:style w:type="paragraph" w:customStyle="1" w:styleId="63">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4">
    <w:name w:val="A1"/>
    <w:basedOn w:val="26"/>
    <w:qFormat/>
    <w:uiPriority w:val="0"/>
    <w:pPr>
      <w:spacing w:line="300" w:lineRule="auto"/>
      <w:jc w:val="center"/>
    </w:pPr>
    <w:rPr>
      <w:rFonts w:ascii="黑体" w:eastAsia="黑体"/>
      <w:sz w:val="52"/>
      <w:szCs w:val="21"/>
    </w:rPr>
  </w:style>
  <w:style w:type="paragraph" w:customStyle="1" w:styleId="65">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6">
    <w:name w:val="p0"/>
    <w:basedOn w:val="1"/>
    <w:qFormat/>
    <w:uiPriority w:val="0"/>
    <w:pPr>
      <w:widowControl/>
    </w:pPr>
    <w:rPr>
      <w:kern w:val="0"/>
      <w:szCs w:val="21"/>
    </w:rPr>
  </w:style>
  <w:style w:type="paragraph" w:customStyle="1" w:styleId="6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8">
    <w:name w:val="彩色网格 - 强调文字颜色 11"/>
    <w:basedOn w:val="1"/>
    <w:next w:val="1"/>
    <w:link w:val="152"/>
    <w:qFormat/>
    <w:uiPriority w:val="0"/>
    <w:rPr>
      <w:i/>
      <w:iCs/>
      <w:color w:val="000000"/>
      <w:szCs w:val="22"/>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Char"/>
    <w:basedOn w:val="1"/>
    <w:qFormat/>
    <w:uiPriority w:val="0"/>
  </w:style>
  <w:style w:type="paragraph" w:customStyle="1" w:styleId="7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2">
    <w:name w:val="样式 标题 1 + 黑体 三号 非加粗 居中 段前: 6 磅 段后: 6 磅 行距: 固定值 20 磅"/>
    <w:basedOn w:val="2"/>
    <w:qFormat/>
    <w:uiPriority w:val="0"/>
    <w:pPr>
      <w:spacing w:line="400" w:lineRule="exact"/>
      <w:jc w:val="center"/>
    </w:pPr>
    <w:rPr>
      <w:rFonts w:ascii="黑体" w:hAnsi="黑体" w:eastAsia="黑体" w:cs="宋体"/>
      <w:b w:val="0"/>
      <w:bCs w:val="0"/>
      <w:sz w:val="32"/>
      <w:szCs w:val="20"/>
    </w:rPr>
  </w:style>
  <w:style w:type="paragraph" w:customStyle="1" w:styleId="73">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4">
    <w:name w:val="目录"/>
    <w:basedOn w:val="1"/>
    <w:qFormat/>
    <w:uiPriority w:val="0"/>
    <w:pPr>
      <w:widowControl/>
      <w:jc w:val="center"/>
    </w:pPr>
    <w:rPr>
      <w:rFonts w:hint="eastAsia" w:ascii="宋体"/>
      <w:b/>
      <w:kern w:val="0"/>
      <w:sz w:val="36"/>
      <w:szCs w:val="20"/>
    </w:rPr>
  </w:style>
  <w:style w:type="paragraph" w:customStyle="1" w:styleId="75">
    <w:name w:val="标题5"/>
    <w:basedOn w:val="4"/>
    <w:link w:val="141"/>
    <w:qFormat/>
    <w:uiPriority w:val="0"/>
    <w:pPr>
      <w:spacing w:line="413" w:lineRule="auto"/>
    </w:pPr>
    <w:rPr>
      <w:rFonts w:ascii="Arial" w:hAnsi="Arial"/>
      <w:kern w:val="0"/>
      <w:sz w:val="24"/>
    </w:rPr>
  </w:style>
  <w:style w:type="paragraph" w:customStyle="1" w:styleId="7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7">
    <w:name w:val="表格文字"/>
    <w:basedOn w:val="1"/>
    <w:qFormat/>
    <w:uiPriority w:val="0"/>
    <w:pPr>
      <w:adjustRightInd w:val="0"/>
      <w:spacing w:line="420" w:lineRule="atLeast"/>
      <w:jc w:val="left"/>
      <w:textAlignment w:val="baseline"/>
    </w:pPr>
    <w:rPr>
      <w:kern w:val="0"/>
      <w:szCs w:val="20"/>
    </w:rPr>
  </w:style>
  <w:style w:type="paragraph" w:customStyle="1" w:styleId="78">
    <w:name w:val="样式 标题 2 + Times New Roman 四号 非加粗 段前: 5 磅 段后: 0 磅 行距: 固定值 20..."/>
    <w:basedOn w:val="3"/>
    <w:qFormat/>
    <w:uiPriority w:val="0"/>
    <w:pPr>
      <w:spacing w:line="400" w:lineRule="exact"/>
    </w:pPr>
    <w:rPr>
      <w:rFonts w:ascii="Times New Roman" w:hAnsi="Times New Roman" w:cs="宋体"/>
      <w:b w:val="0"/>
      <w:bCs w:val="0"/>
      <w:sz w:val="28"/>
      <w:szCs w:val="20"/>
    </w:rPr>
  </w:style>
  <w:style w:type="paragraph" w:customStyle="1" w:styleId="7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0">
    <w:name w:val="彩色列表 - 强调文字颜色 11"/>
    <w:basedOn w:val="1"/>
    <w:qFormat/>
    <w:uiPriority w:val="0"/>
    <w:pPr>
      <w:ind w:firstLine="420" w:firstLineChars="200"/>
    </w:pPr>
    <w:rPr>
      <w:rFonts w:ascii="Calibri" w:hAnsi="Calibri"/>
      <w:szCs w:val="22"/>
    </w:rPr>
  </w:style>
  <w:style w:type="paragraph" w:customStyle="1" w:styleId="81">
    <w:name w:val="样式1"/>
    <w:basedOn w:val="4"/>
    <w:qFormat/>
    <w:uiPriority w:val="0"/>
    <w:rPr>
      <w:rFonts w:eastAsia="Arial"/>
    </w:rPr>
  </w:style>
  <w:style w:type="paragraph" w:customStyle="1" w:styleId="82">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3">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4">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
    <w:name w:val="样式2"/>
    <w:basedOn w:val="4"/>
    <w:qFormat/>
    <w:uiPriority w:val="0"/>
  </w:style>
  <w:style w:type="paragraph" w:customStyle="1" w:styleId="86">
    <w:name w:val="1"/>
    <w:basedOn w:val="1"/>
    <w:next w:val="1"/>
    <w:qFormat/>
    <w:uiPriority w:val="0"/>
  </w:style>
  <w:style w:type="paragraph" w:customStyle="1" w:styleId="87">
    <w:name w:val="A3"/>
    <w:basedOn w:val="64"/>
    <w:qFormat/>
    <w:uiPriority w:val="0"/>
    <w:rPr>
      <w:sz w:val="21"/>
    </w:rPr>
  </w:style>
  <w:style w:type="paragraph" w:customStyle="1" w:styleId="88">
    <w:name w:val="样式4"/>
    <w:basedOn w:val="4"/>
    <w:qFormat/>
    <w:uiPriority w:val="0"/>
    <w:rPr>
      <w:rFonts w:eastAsia="Arial"/>
    </w:rPr>
  </w:style>
  <w:style w:type="paragraph" w:customStyle="1" w:styleId="8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1">
    <w:name w:val="默认段落字体 Para Char Char Char Char"/>
    <w:basedOn w:val="1"/>
    <w:qFormat/>
    <w:uiPriority w:val="0"/>
  </w:style>
  <w:style w:type="paragraph" w:customStyle="1" w:styleId="92">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93">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4">
    <w:name w:val="目录标题"/>
    <w:basedOn w:val="2"/>
    <w:next w:val="1"/>
    <w:qFormat/>
    <w:uiPriority w:val="0"/>
    <w:pPr>
      <w:outlineLvl w:val="9"/>
    </w:pPr>
    <w:rPr>
      <w:rFonts w:ascii="Calibri" w:hAnsi="Calibri"/>
    </w:rPr>
  </w:style>
  <w:style w:type="paragraph" w:customStyle="1" w:styleId="95">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96">
    <w:name w:val="表格"/>
    <w:basedOn w:val="1"/>
    <w:qFormat/>
    <w:uiPriority w:val="0"/>
    <w:pPr>
      <w:jc w:val="center"/>
      <w:textAlignment w:val="center"/>
    </w:pPr>
    <w:rPr>
      <w:rFonts w:ascii="华文细黑" w:hAnsi="华文细黑"/>
      <w:kern w:val="0"/>
      <w:szCs w:val="20"/>
    </w:rPr>
  </w:style>
  <w:style w:type="paragraph" w:customStyle="1" w:styleId="97">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8">
    <w:name w:val="表头"/>
    <w:basedOn w:val="1"/>
    <w:qFormat/>
    <w:uiPriority w:val="0"/>
    <w:pPr>
      <w:snapToGrid w:val="0"/>
      <w:spacing w:line="300" w:lineRule="auto"/>
      <w:ind w:right="420"/>
    </w:pPr>
    <w:rPr>
      <w:rFonts w:ascii="仿宋_GB2312"/>
      <w:kern w:val="0"/>
      <w:szCs w:val="21"/>
    </w:rPr>
  </w:style>
  <w:style w:type="paragraph" w:customStyle="1" w:styleId="99">
    <w:name w:val="样式 标题 3 + (中文) 黑体 小四 非加粗 段前: 7.8 磅 段后: 0 磅 行距: 固定值 20 磅"/>
    <w:basedOn w:val="4"/>
    <w:qFormat/>
    <w:uiPriority w:val="0"/>
    <w:pPr>
      <w:spacing w:line="400" w:lineRule="exact"/>
    </w:pPr>
    <w:rPr>
      <w:rFonts w:eastAsia="黑体" w:cs="宋体"/>
      <w:b w:val="0"/>
      <w:bCs w:val="0"/>
      <w:sz w:val="24"/>
      <w:szCs w:val="20"/>
    </w:rPr>
  </w:style>
  <w:style w:type="paragraph" w:customStyle="1" w:styleId="10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1">
    <w:name w:val="Char1"/>
    <w:basedOn w:val="1"/>
    <w:qFormat/>
    <w:uiPriority w:val="0"/>
    <w:pPr>
      <w:tabs>
        <w:tab w:val="left" w:pos="360"/>
      </w:tabs>
    </w:pPr>
    <w:rPr>
      <w:sz w:val="24"/>
    </w:rPr>
  </w:style>
  <w:style w:type="paragraph" w:customStyle="1" w:styleId="10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3">
    <w:name w:val="菲页(卷)"/>
    <w:basedOn w:val="2"/>
    <w:next w:val="59"/>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4">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5">
    <w:name w:val="Char Char19"/>
    <w:qFormat/>
    <w:uiPriority w:val="0"/>
    <w:rPr>
      <w:rFonts w:ascii="黑体" w:hAnsi="宋体" w:eastAsia="黑体"/>
      <w:sz w:val="52"/>
      <w:lang w:val="en-US" w:eastAsia="zh-CN" w:bidi="ar-SA"/>
    </w:rPr>
  </w:style>
  <w:style w:type="character" w:customStyle="1" w:styleId="106">
    <w:name w:val="日期 Char1"/>
    <w:qFormat/>
    <w:uiPriority w:val="0"/>
    <w:rPr>
      <w:kern w:val="2"/>
      <w:sz w:val="21"/>
      <w:szCs w:val="22"/>
    </w:rPr>
  </w:style>
  <w:style w:type="character" w:customStyle="1" w:styleId="107">
    <w:name w:val="_Style 106"/>
    <w:qFormat/>
    <w:uiPriority w:val="0"/>
    <w:rPr>
      <w:i/>
      <w:iCs/>
      <w:color w:val="808080"/>
    </w:rPr>
  </w:style>
  <w:style w:type="character" w:customStyle="1" w:styleId="108">
    <w:name w:val="4号宋体左齐行距1.5倍 Char"/>
    <w:qFormat/>
    <w:uiPriority w:val="0"/>
    <w:rPr>
      <w:rFonts w:eastAsia="宋体"/>
      <w:b/>
      <w:sz w:val="32"/>
      <w:lang w:val="en-US" w:eastAsia="zh-CN" w:bidi="ar-SA"/>
    </w:rPr>
  </w:style>
  <w:style w:type="character" w:customStyle="1" w:styleId="109">
    <w:name w:val="Para head"/>
    <w:qFormat/>
    <w:uiPriority w:val="0"/>
    <w:rPr>
      <w:rFonts w:ascii="Arial" w:hAnsi="Arial" w:eastAsia="Times New Roman"/>
      <w:sz w:val="20"/>
    </w:rPr>
  </w:style>
  <w:style w:type="character" w:customStyle="1" w:styleId="110">
    <w:name w:val="Char Char2"/>
    <w:qFormat/>
    <w:uiPriority w:val="0"/>
    <w:rPr>
      <w:rFonts w:eastAsia="宋体"/>
      <w:kern w:val="2"/>
      <w:sz w:val="21"/>
      <w:szCs w:val="24"/>
      <w:lang w:val="en-US" w:eastAsia="zh-CN" w:bidi="ar-SA"/>
    </w:rPr>
  </w:style>
  <w:style w:type="character" w:customStyle="1" w:styleId="111">
    <w:name w:val="Char Char18"/>
    <w:qFormat/>
    <w:uiPriority w:val="0"/>
    <w:rPr>
      <w:b/>
      <w:bCs/>
      <w:kern w:val="44"/>
      <w:sz w:val="44"/>
      <w:szCs w:val="44"/>
    </w:rPr>
  </w:style>
  <w:style w:type="character" w:customStyle="1" w:styleId="112">
    <w:name w:val="批注文字 Char"/>
    <w:link w:val="12"/>
    <w:qFormat/>
    <w:uiPriority w:val="0"/>
    <w:rPr>
      <w:rFonts w:eastAsia="宋体"/>
      <w:kern w:val="2"/>
      <w:sz w:val="21"/>
      <w:szCs w:val="24"/>
      <w:lang w:val="en-US" w:eastAsia="zh-CN" w:bidi="ar-SA"/>
    </w:rPr>
  </w:style>
  <w:style w:type="character" w:customStyle="1" w:styleId="113">
    <w:name w:val="标题 9 Char"/>
    <w:link w:val="10"/>
    <w:qFormat/>
    <w:uiPriority w:val="0"/>
    <w:rPr>
      <w:rFonts w:ascii="Arial" w:hAnsi="Arial" w:eastAsia="黑体"/>
      <w:sz w:val="21"/>
      <w:szCs w:val="21"/>
      <w:lang w:val="en-US" w:eastAsia="zh-CN" w:bidi="ar-SA"/>
    </w:rPr>
  </w:style>
  <w:style w:type="character" w:customStyle="1" w:styleId="114">
    <w:name w:val="apple-converted-space"/>
    <w:qFormat/>
    <w:uiPriority w:val="0"/>
  </w:style>
  <w:style w:type="character" w:customStyle="1" w:styleId="115">
    <w:name w:val="批注主题 Char1"/>
    <w:qFormat/>
    <w:uiPriority w:val="0"/>
    <w:rPr>
      <w:b/>
      <w:bCs/>
      <w:kern w:val="2"/>
      <w:sz w:val="21"/>
      <w:szCs w:val="22"/>
    </w:rPr>
  </w:style>
  <w:style w:type="character" w:customStyle="1" w:styleId="116">
    <w:name w:val="Char Char"/>
    <w:qFormat/>
    <w:uiPriority w:val="0"/>
    <w:rPr>
      <w:rFonts w:ascii="Arial" w:hAnsi="Arial" w:eastAsia="黑体"/>
      <w:b/>
      <w:bCs/>
      <w:kern w:val="2"/>
      <w:sz w:val="32"/>
      <w:szCs w:val="32"/>
      <w:lang w:val="en-US" w:eastAsia="zh-CN" w:bidi="ar-SA"/>
    </w:rPr>
  </w:style>
  <w:style w:type="character" w:customStyle="1" w:styleId="117">
    <w:name w:val="Char Char9"/>
    <w:qFormat/>
    <w:uiPriority w:val="0"/>
    <w:rPr>
      <w:kern w:val="2"/>
      <w:sz w:val="21"/>
      <w:szCs w:val="22"/>
    </w:rPr>
  </w:style>
  <w:style w:type="character" w:customStyle="1" w:styleId="118">
    <w:name w:val="文档结构图 Char"/>
    <w:link w:val="17"/>
    <w:qFormat/>
    <w:uiPriority w:val="0"/>
    <w:rPr>
      <w:rFonts w:eastAsia="宋体"/>
      <w:kern w:val="2"/>
      <w:sz w:val="21"/>
      <w:szCs w:val="24"/>
      <w:lang w:val="en-US" w:eastAsia="zh-CN" w:bidi="ar-SA"/>
    </w:rPr>
  </w:style>
  <w:style w:type="character" w:customStyle="1" w:styleId="119">
    <w:name w:val="_Style 118"/>
    <w:qFormat/>
    <w:uiPriority w:val="0"/>
    <w:rPr>
      <w:smallCaps/>
      <w:color w:val="C0504D"/>
      <w:u w:val="single"/>
    </w:rPr>
  </w:style>
  <w:style w:type="character" w:customStyle="1" w:styleId="120">
    <w:name w:val="标题 4 Char"/>
    <w:qFormat/>
    <w:uiPriority w:val="0"/>
    <w:rPr>
      <w:rFonts w:eastAsia="宋体"/>
      <w:sz w:val="21"/>
      <w:lang w:val="en-US" w:eastAsia="zh-CN" w:bidi="ar-SA"/>
    </w:rPr>
  </w:style>
  <w:style w:type="character" w:customStyle="1" w:styleId="121">
    <w:name w:val="批注框文本 Char1"/>
    <w:qFormat/>
    <w:uiPriority w:val="0"/>
    <w:rPr>
      <w:kern w:val="2"/>
      <w:sz w:val="18"/>
      <w:szCs w:val="18"/>
    </w:rPr>
  </w:style>
  <w:style w:type="character" w:customStyle="1" w:styleId="122">
    <w:name w:val="浅色底纹 - 强调文字颜色 2 Char"/>
    <w:link w:val="92"/>
    <w:qFormat/>
    <w:uiPriority w:val="0"/>
    <w:rPr>
      <w:b/>
      <w:bCs/>
      <w:i/>
      <w:iCs/>
      <w:color w:val="4F81BD"/>
      <w:kern w:val="2"/>
      <w:sz w:val="21"/>
      <w:szCs w:val="22"/>
      <w:lang w:bidi="ar-SA"/>
    </w:rPr>
  </w:style>
  <w:style w:type="character" w:customStyle="1" w:styleId="123">
    <w:name w:val="textcontents"/>
    <w:qFormat/>
    <w:uiPriority w:val="0"/>
    <w:rPr>
      <w:rFonts w:cs="Times New Roman"/>
    </w:rPr>
  </w:style>
  <w:style w:type="character" w:customStyle="1" w:styleId="124">
    <w:name w:val="正文文本 Char"/>
    <w:link w:val="19"/>
    <w:qFormat/>
    <w:uiPriority w:val="0"/>
    <w:rPr>
      <w:rFonts w:eastAsia="宋体"/>
      <w:kern w:val="2"/>
      <w:sz w:val="21"/>
      <w:szCs w:val="24"/>
      <w:lang w:val="en-US" w:eastAsia="zh-CN" w:bidi="ar-SA"/>
    </w:rPr>
  </w:style>
  <w:style w:type="character" w:customStyle="1" w:styleId="125">
    <w:name w:val="标题 5 Char"/>
    <w:link w:val="6"/>
    <w:qFormat/>
    <w:uiPriority w:val="0"/>
    <w:rPr>
      <w:rFonts w:ascii="Calibri" w:hAnsi="Calibri" w:eastAsia="宋体"/>
      <w:b/>
      <w:bCs/>
      <w:kern w:val="2"/>
      <w:sz w:val="28"/>
      <w:szCs w:val="28"/>
      <w:lang w:val="en-US" w:eastAsia="zh-CN" w:bidi="ar-SA"/>
    </w:rPr>
  </w:style>
  <w:style w:type="character" w:customStyle="1" w:styleId="126">
    <w:name w:val="标题 3 Char"/>
    <w:link w:val="4"/>
    <w:qFormat/>
    <w:uiPriority w:val="0"/>
    <w:rPr>
      <w:rFonts w:eastAsia="宋体"/>
      <w:b/>
      <w:bCs/>
      <w:kern w:val="2"/>
      <w:sz w:val="32"/>
      <w:szCs w:val="32"/>
      <w:lang w:val="en-US" w:eastAsia="zh-CN" w:bidi="ar-SA"/>
    </w:rPr>
  </w:style>
  <w:style w:type="character" w:customStyle="1" w:styleId="127">
    <w:name w:val="页眉 Char Char"/>
    <w:qFormat/>
    <w:uiPriority w:val="0"/>
    <w:rPr>
      <w:rFonts w:eastAsia="宋体"/>
      <w:kern w:val="2"/>
      <w:sz w:val="18"/>
      <w:szCs w:val="18"/>
      <w:lang w:val="en-US" w:eastAsia="zh-CN" w:bidi="ar-SA"/>
    </w:rPr>
  </w:style>
  <w:style w:type="character" w:customStyle="1" w:styleId="128">
    <w:name w:val="正文缩进 Char"/>
    <w:link w:val="14"/>
    <w:qFormat/>
    <w:uiPriority w:val="0"/>
    <w:rPr>
      <w:rFonts w:eastAsia="宋体"/>
      <w:kern w:val="2"/>
      <w:sz w:val="21"/>
      <w:szCs w:val="24"/>
      <w:lang w:val="en-US" w:eastAsia="zh-CN" w:bidi="ar-SA"/>
    </w:rPr>
  </w:style>
  <w:style w:type="character" w:customStyle="1" w:styleId="129">
    <w:name w:val="Char Char7"/>
    <w:qFormat/>
    <w:uiPriority w:val="0"/>
    <w:rPr>
      <w:rFonts w:ascii="Arial" w:hAnsi="Arial" w:eastAsia="黑体"/>
      <w:b/>
      <w:bCs/>
      <w:kern w:val="2"/>
      <w:sz w:val="32"/>
      <w:szCs w:val="32"/>
      <w:lang w:val="en-US" w:eastAsia="zh-CN" w:bidi="ar-SA"/>
    </w:rPr>
  </w:style>
  <w:style w:type="character" w:customStyle="1" w:styleId="130">
    <w:name w:val="标题 1 Char"/>
    <w:link w:val="2"/>
    <w:qFormat/>
    <w:uiPriority w:val="0"/>
    <w:rPr>
      <w:rFonts w:eastAsia="宋体"/>
      <w:b/>
      <w:bCs/>
      <w:kern w:val="44"/>
      <w:sz w:val="44"/>
      <w:szCs w:val="44"/>
      <w:lang w:val="en-US" w:eastAsia="zh-CN" w:bidi="ar-SA"/>
    </w:rPr>
  </w:style>
  <w:style w:type="character" w:customStyle="1" w:styleId="131">
    <w:name w:val="纯文本 Char"/>
    <w:link w:val="26"/>
    <w:qFormat/>
    <w:uiPriority w:val="0"/>
    <w:rPr>
      <w:rFonts w:ascii="Courier New" w:hAnsi="Courier New" w:eastAsia="宋体"/>
      <w:kern w:val="2"/>
      <w:sz w:val="21"/>
      <w:lang w:val="en-US" w:eastAsia="zh-CN" w:bidi="ar-SA"/>
    </w:rPr>
  </w:style>
  <w:style w:type="character" w:customStyle="1" w:styleId="132">
    <w:name w:val="页眉 Char"/>
    <w:link w:val="32"/>
    <w:qFormat/>
    <w:uiPriority w:val="0"/>
    <w:rPr>
      <w:rFonts w:eastAsia="宋体"/>
      <w:kern w:val="2"/>
      <w:sz w:val="18"/>
      <w:szCs w:val="18"/>
      <w:lang w:val="en-US" w:eastAsia="zh-CN" w:bidi="ar-SA"/>
    </w:rPr>
  </w:style>
  <w:style w:type="character" w:customStyle="1" w:styleId="133">
    <w:name w:val="批注文字 Char Char"/>
    <w:qFormat/>
    <w:uiPriority w:val="0"/>
    <w:rPr>
      <w:rFonts w:ascii="宋体" w:hAnsi="Times New Roman" w:eastAsia="宋体" w:cs="Times New Roman"/>
      <w:sz w:val="28"/>
      <w:szCs w:val="20"/>
    </w:rPr>
  </w:style>
  <w:style w:type="character" w:customStyle="1" w:styleId="134">
    <w:name w:val="font161"/>
    <w:qFormat/>
    <w:uiPriority w:val="0"/>
    <w:rPr>
      <w:b/>
      <w:bCs/>
      <w:sz w:val="32"/>
      <w:szCs w:val="32"/>
    </w:rPr>
  </w:style>
  <w:style w:type="character" w:customStyle="1" w:styleId="135">
    <w:name w:val="标题4 Char Char"/>
    <w:link w:val="58"/>
    <w:qFormat/>
    <w:uiPriority w:val="0"/>
    <w:rPr>
      <w:rFonts w:ascii="Arial" w:hAnsi="Arial"/>
      <w:b/>
      <w:bCs/>
      <w:sz w:val="24"/>
      <w:szCs w:val="32"/>
      <w:lang w:bidi="ar-SA"/>
    </w:rPr>
  </w:style>
  <w:style w:type="character" w:customStyle="1" w:styleId="136">
    <w:name w:val="_Style 135"/>
    <w:qFormat/>
    <w:uiPriority w:val="0"/>
    <w:rPr>
      <w:b/>
      <w:bCs/>
      <w:smallCaps/>
      <w:spacing w:val="5"/>
    </w:rPr>
  </w:style>
  <w:style w:type="character" w:customStyle="1" w:styleId="137">
    <w:name w:val="副标题 Char"/>
    <w:link w:val="35"/>
    <w:qFormat/>
    <w:uiPriority w:val="0"/>
    <w:rPr>
      <w:rFonts w:ascii="Arial" w:hAnsi="Arial" w:eastAsia="黑体"/>
      <w:b/>
      <w:bCs/>
      <w:kern w:val="2"/>
      <w:sz w:val="32"/>
      <w:szCs w:val="32"/>
      <w:lang w:val="en-US" w:eastAsia="zh-CN" w:bidi="ar-SA"/>
    </w:rPr>
  </w:style>
  <w:style w:type="character" w:customStyle="1" w:styleId="138">
    <w:name w:val="标题 4 Char1"/>
    <w:link w:val="5"/>
    <w:qFormat/>
    <w:uiPriority w:val="0"/>
    <w:rPr>
      <w:rFonts w:ascii="Arial" w:hAnsi="Arial" w:eastAsia="黑体"/>
      <w:b/>
      <w:bCs/>
      <w:kern w:val="2"/>
      <w:sz w:val="28"/>
      <w:szCs w:val="28"/>
      <w:lang w:val="en-US" w:eastAsia="zh-CN" w:bidi="ar-SA"/>
    </w:rPr>
  </w:style>
  <w:style w:type="character" w:customStyle="1" w:styleId="139">
    <w:name w:val="_Style 138"/>
    <w:qFormat/>
    <w:uiPriority w:val="0"/>
    <w:rPr>
      <w:b/>
      <w:bCs/>
      <w:smallCaps/>
      <w:color w:val="C0504D"/>
      <w:spacing w:val="5"/>
      <w:u w:val="single"/>
    </w:rPr>
  </w:style>
  <w:style w:type="character" w:customStyle="1" w:styleId="140">
    <w:name w:val="_Style 139"/>
    <w:qFormat/>
    <w:uiPriority w:val="0"/>
    <w:rPr>
      <w:b/>
      <w:bCs/>
      <w:i/>
      <w:iCs/>
      <w:color w:val="4F81BD"/>
    </w:rPr>
  </w:style>
  <w:style w:type="character" w:customStyle="1" w:styleId="141">
    <w:name w:val="标题5 Char Char"/>
    <w:link w:val="75"/>
    <w:qFormat/>
    <w:uiPriority w:val="0"/>
    <w:rPr>
      <w:rFonts w:ascii="Arial" w:hAnsi="Arial"/>
      <w:b/>
      <w:bCs/>
      <w:sz w:val="24"/>
      <w:szCs w:val="32"/>
      <w:lang w:bidi="ar-SA"/>
    </w:rPr>
  </w:style>
  <w:style w:type="character" w:customStyle="1" w:styleId="142">
    <w:name w:val="文档结构图 Char1"/>
    <w:qFormat/>
    <w:uiPriority w:val="0"/>
    <w:rPr>
      <w:rFonts w:ascii="宋体"/>
      <w:kern w:val="2"/>
      <w:sz w:val="18"/>
      <w:szCs w:val="18"/>
    </w:rPr>
  </w:style>
  <w:style w:type="character" w:customStyle="1" w:styleId="143">
    <w:name w:val="Char Char17"/>
    <w:qFormat/>
    <w:uiPriority w:val="0"/>
    <w:rPr>
      <w:rFonts w:ascii="Cambria" w:hAnsi="Cambria" w:eastAsia="宋体" w:cs="Times New Roman"/>
      <w:b/>
      <w:bCs/>
      <w:kern w:val="2"/>
      <w:sz w:val="32"/>
      <w:szCs w:val="32"/>
    </w:rPr>
  </w:style>
  <w:style w:type="character" w:customStyle="1" w:styleId="144">
    <w:name w:val="标题 7 Char"/>
    <w:link w:val="8"/>
    <w:qFormat/>
    <w:uiPriority w:val="0"/>
    <w:rPr>
      <w:rFonts w:eastAsia="宋体"/>
      <w:b/>
      <w:bCs/>
      <w:sz w:val="24"/>
      <w:szCs w:val="24"/>
      <w:lang w:val="en-US" w:eastAsia="zh-CN" w:bidi="ar-SA"/>
    </w:rPr>
  </w:style>
  <w:style w:type="character" w:customStyle="1" w:styleId="145">
    <w:name w:val="标题 6 Char"/>
    <w:link w:val="7"/>
    <w:qFormat/>
    <w:uiPriority w:val="0"/>
    <w:rPr>
      <w:rFonts w:ascii="Arial" w:hAnsi="Arial" w:eastAsia="黑体"/>
      <w:b/>
      <w:bCs/>
      <w:sz w:val="24"/>
      <w:szCs w:val="24"/>
      <w:lang w:val="en-US" w:eastAsia="zh-CN" w:bidi="ar-SA"/>
    </w:rPr>
  </w:style>
  <w:style w:type="character" w:customStyle="1" w:styleId="146">
    <w:name w:val="标题 2 Char"/>
    <w:link w:val="3"/>
    <w:qFormat/>
    <w:uiPriority w:val="0"/>
    <w:rPr>
      <w:rFonts w:ascii="Arial" w:hAnsi="Arial" w:eastAsia="黑体"/>
      <w:b/>
      <w:bCs/>
      <w:kern w:val="2"/>
      <w:sz w:val="32"/>
      <w:szCs w:val="32"/>
      <w:lang w:val="en-US" w:eastAsia="zh-CN" w:bidi="ar-SA"/>
    </w:rPr>
  </w:style>
  <w:style w:type="character" w:customStyle="1" w:styleId="147">
    <w:name w:val="页脚 Char Char"/>
    <w:qFormat/>
    <w:uiPriority w:val="0"/>
    <w:rPr>
      <w:rFonts w:eastAsia="宋体"/>
      <w:kern w:val="2"/>
      <w:sz w:val="18"/>
      <w:szCs w:val="18"/>
      <w:lang w:val="en-US" w:eastAsia="zh-CN" w:bidi="ar-SA"/>
    </w:rPr>
  </w:style>
  <w:style w:type="character" w:customStyle="1" w:styleId="148">
    <w:name w:val="ask-title"/>
    <w:qFormat/>
    <w:uiPriority w:val="0"/>
  </w:style>
  <w:style w:type="character" w:customStyle="1" w:styleId="149">
    <w:name w:val="标题 8 Char"/>
    <w:link w:val="9"/>
    <w:qFormat/>
    <w:uiPriority w:val="0"/>
    <w:rPr>
      <w:rFonts w:ascii="Arial" w:hAnsi="Arial" w:eastAsia="黑体"/>
      <w:sz w:val="24"/>
      <w:szCs w:val="24"/>
      <w:lang w:val="en-US" w:eastAsia="zh-CN" w:bidi="ar-SA"/>
    </w:rPr>
  </w:style>
  <w:style w:type="character" w:customStyle="1" w:styleId="150">
    <w:name w:val="font11"/>
    <w:qFormat/>
    <w:uiPriority w:val="0"/>
    <w:rPr>
      <w:rFonts w:hint="eastAsia" w:ascii="宋体" w:hAnsi="宋体" w:eastAsia="宋体" w:cs="宋体"/>
      <w:color w:val="000000"/>
      <w:sz w:val="20"/>
      <w:szCs w:val="20"/>
      <w:u w:val="none"/>
    </w:rPr>
  </w:style>
  <w:style w:type="character" w:customStyle="1" w:styleId="151">
    <w:name w:val="正文文本 Char1"/>
    <w:qFormat/>
    <w:uiPriority w:val="0"/>
    <w:rPr>
      <w:kern w:val="2"/>
      <w:sz w:val="21"/>
      <w:szCs w:val="22"/>
    </w:rPr>
  </w:style>
  <w:style w:type="character" w:customStyle="1" w:styleId="152">
    <w:name w:val="彩色网格 - 强调文字颜色 1 Char"/>
    <w:link w:val="68"/>
    <w:qFormat/>
    <w:uiPriority w:val="0"/>
    <w:rPr>
      <w:i/>
      <w:iCs/>
      <w:color w:val="000000"/>
      <w:kern w:val="2"/>
      <w:sz w:val="21"/>
      <w:szCs w:val="22"/>
      <w:lang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10</Pages>
  <Words>715</Words>
  <Characters>4077</Characters>
  <Lines>33</Lines>
  <Paragraphs>9</Paragraphs>
  <TotalTime>1</TotalTime>
  <ScaleCrop>false</ScaleCrop>
  <LinksUpToDate>false</LinksUpToDate>
  <CharactersWithSpaces>4783</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2024-01-17T06:58:00Z</cp:lastPrinted>
  <dcterms:modified xsi:type="dcterms:W3CDTF">2024-03-13T00:12:24Z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