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rPr>
        <w:t>铜陵铜冠建安第</w:t>
      </w:r>
      <w:r>
        <w:rPr>
          <w:rFonts w:hint="eastAsia" w:ascii="仿宋" w:hAnsi="仿宋" w:eastAsia="仿宋" w:cs="宋体"/>
          <w:b/>
          <w:bCs/>
          <w:kern w:val="1"/>
          <w:sz w:val="44"/>
          <w:szCs w:val="44"/>
          <w:highlight w:val="none"/>
          <w:u w:val="single"/>
          <w:lang w:eastAsia="zh-CN"/>
        </w:rPr>
        <w:t>一</w:t>
      </w:r>
      <w:r>
        <w:rPr>
          <w:rFonts w:hint="eastAsia" w:ascii="仿宋" w:hAnsi="仿宋" w:eastAsia="仿宋" w:cs="宋体"/>
          <w:b/>
          <w:bCs/>
          <w:kern w:val="1"/>
          <w:sz w:val="44"/>
          <w:szCs w:val="44"/>
          <w:highlight w:val="none"/>
          <w:u w:val="single"/>
        </w:rPr>
        <w:t>事业部</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合肥铜箔</w:t>
      </w:r>
      <w:r>
        <w:rPr>
          <w:rFonts w:hint="eastAsia" w:ascii="仿宋" w:hAnsi="仿宋" w:eastAsia="仿宋" w:cs="宋体"/>
          <w:b/>
          <w:bCs/>
          <w:kern w:val="1"/>
          <w:sz w:val="44"/>
          <w:szCs w:val="44"/>
          <w:highlight w:val="none"/>
          <w:u w:val="single"/>
        </w:rPr>
        <w:t>项目</w:t>
      </w:r>
      <w:r>
        <w:rPr>
          <w:rFonts w:hint="eastAsia" w:ascii="仿宋" w:hAnsi="仿宋" w:eastAsia="仿宋" w:cs="宋体"/>
          <w:b/>
          <w:bCs/>
          <w:kern w:val="1"/>
          <w:sz w:val="44"/>
          <w:szCs w:val="44"/>
          <w:highlight w:val="none"/>
          <w:u w:val="single"/>
          <w:lang w:eastAsia="zh-CN"/>
        </w:rPr>
        <w:t>玻璃门、木门、防火门</w:t>
      </w:r>
      <w:r>
        <w:rPr>
          <w:rFonts w:hint="eastAsia" w:ascii="仿宋" w:hAnsi="仿宋" w:eastAsia="仿宋" w:cs="宋体"/>
          <w:b/>
          <w:bCs/>
          <w:kern w:val="1"/>
          <w:sz w:val="44"/>
          <w:szCs w:val="44"/>
          <w:highlight w:val="none"/>
          <w:u w:val="single"/>
        </w:rPr>
        <w:t>等材料</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eastAsia" w:ascii="仿宋" w:hAnsi="仿宋" w:eastAsia="仿宋" w:cs="仿宋_GB2312"/>
          <w:b/>
          <w:bCs/>
          <w:sz w:val="32"/>
          <w:szCs w:val="32"/>
          <w:highlight w:val="none"/>
          <w:u w:val="single"/>
          <w:lang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w:t>
      </w:r>
      <w:bookmarkStart w:id="0" w:name="_GoBack"/>
      <w:bookmarkEnd w:id="0"/>
      <w:r>
        <w:rPr>
          <w:rFonts w:hint="eastAsia" w:ascii="仿宋" w:hAnsi="仿宋" w:eastAsia="仿宋" w:cs="仿宋_GB2312"/>
          <w:b/>
          <w:bCs/>
          <w:sz w:val="32"/>
          <w:szCs w:val="32"/>
          <w:highlight w:val="none"/>
          <w:u w:val="single"/>
        </w:rPr>
        <w:t>1</w:t>
      </w:r>
      <w:r>
        <w:rPr>
          <w:rFonts w:hint="eastAsia" w:ascii="仿宋" w:hAnsi="仿宋" w:eastAsia="仿宋" w:cs="仿宋_GB2312"/>
          <w:b/>
          <w:bCs/>
          <w:sz w:val="32"/>
          <w:szCs w:val="32"/>
          <w:highlight w:val="none"/>
          <w:u w:val="single"/>
          <w:lang w:val="en-US" w:eastAsia="zh-CN"/>
        </w:rPr>
        <w:t>7</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一、招标日程安排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本次招标的具体内容如下：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本次招标数量是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2、投标人须为一般纳税人,开具13%增值税专用发票。</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1</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31</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壹万</w:t>
      </w:r>
      <w:r>
        <w:rPr>
          <w:rFonts w:hint="eastAsia" w:ascii="仿宋" w:hAnsi="仿宋" w:eastAsia="仿宋" w:cs="仿宋_GB2312"/>
          <w:b/>
          <w:bCs/>
          <w:color w:val="000000"/>
          <w:sz w:val="24"/>
          <w:highlight w:val="none"/>
          <w:u w:val="single"/>
        </w:rPr>
        <w:t>元整</w:t>
      </w:r>
      <w:r>
        <w:rPr>
          <w:rFonts w:hint="eastAsia" w:ascii="仿宋" w:hAnsi="仿宋" w:eastAsia="仿宋" w:cs="仿宋_GB2312"/>
          <w:color w:val="000000"/>
          <w:sz w:val="24"/>
          <w:highlight w:val="none"/>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铜陵铜冠建安第</w:t>
      </w:r>
      <w:r>
        <w:rPr>
          <w:rFonts w:hint="eastAsia" w:ascii="仿宋" w:hAnsi="仿宋" w:eastAsia="仿宋" w:cs="仿宋_GB2312"/>
          <w:b/>
          <w:bCs/>
          <w:sz w:val="24"/>
          <w:highlight w:val="none"/>
          <w:u w:val="single"/>
          <w:lang w:eastAsia="zh-CN"/>
        </w:rPr>
        <w:t>一</w:t>
      </w:r>
      <w:r>
        <w:rPr>
          <w:rFonts w:hint="eastAsia" w:ascii="仿宋" w:hAnsi="仿宋" w:eastAsia="仿宋" w:cs="仿宋_GB2312"/>
          <w:b/>
          <w:bCs/>
          <w:sz w:val="24"/>
          <w:highlight w:val="none"/>
          <w:u w:val="single"/>
        </w:rPr>
        <w:t>事业部</w:t>
      </w:r>
      <w:r>
        <w:rPr>
          <w:rFonts w:hint="eastAsia" w:ascii="仿宋" w:hAnsi="仿宋" w:eastAsia="仿宋" w:cs="仿宋_GB2312"/>
          <w:b/>
          <w:bCs/>
          <w:sz w:val="24"/>
          <w:highlight w:val="none"/>
          <w:u w:val="single"/>
          <w:lang w:eastAsia="zh-CN"/>
        </w:rPr>
        <w:t>合肥铜箔</w:t>
      </w:r>
      <w:r>
        <w:rPr>
          <w:rFonts w:hint="eastAsia" w:ascii="仿宋" w:hAnsi="仿宋" w:eastAsia="仿宋" w:cs="仿宋_GB2312"/>
          <w:b/>
          <w:bCs/>
          <w:sz w:val="24"/>
          <w:highlight w:val="none"/>
          <w:u w:val="single"/>
        </w:rPr>
        <w:t>项目</w:t>
      </w:r>
      <w:r>
        <w:rPr>
          <w:rFonts w:hint="eastAsia" w:ascii="仿宋" w:hAnsi="仿宋" w:eastAsia="仿宋" w:cs="仿宋_GB2312"/>
          <w:b/>
          <w:bCs/>
          <w:sz w:val="24"/>
          <w:highlight w:val="none"/>
          <w:u w:val="single"/>
          <w:lang w:eastAsia="zh-CN"/>
        </w:rPr>
        <w:t>玻璃门、木门、防火门</w:t>
      </w:r>
      <w:r>
        <w:rPr>
          <w:rFonts w:hint="eastAsia" w:ascii="仿宋" w:hAnsi="仿宋" w:eastAsia="仿宋" w:cs="仿宋_GB2312"/>
          <w:b/>
          <w:bCs/>
          <w:sz w:val="24"/>
          <w:highlight w:val="none"/>
          <w:u w:val="single"/>
        </w:rPr>
        <w:t>TGJA-WZ-2024</w:t>
      </w:r>
      <w:r>
        <w:rPr>
          <w:rFonts w:hint="eastAsia" w:ascii="仿宋" w:hAnsi="仿宋" w:eastAsia="仿宋" w:cs="仿宋_GB2312"/>
          <w:b/>
          <w:bCs/>
          <w:sz w:val="24"/>
          <w:highlight w:val="none"/>
          <w:u w:val="single"/>
          <w:lang w:val="en-US" w:eastAsia="zh-CN"/>
        </w:rPr>
        <w:t>17</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ascii="仿宋" w:hAnsi="仿宋" w:eastAsia="仿宋" w:cs="仿宋"/>
          <w:sz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材料质量要求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highlight w:val="none"/>
        </w:rPr>
        <w:t>应符合国家最新质量标准和招标文件要求。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（2）投标人如若中标，提供的材料必须符合技术指标要求。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合肥铜箔</w:t>
      </w:r>
      <w:r>
        <w:rPr>
          <w:rFonts w:hint="eastAsia" w:ascii="仿宋" w:hAnsi="仿宋" w:eastAsia="仿宋" w:cs="仿宋_GB2312"/>
          <w:sz w:val="24"/>
          <w:highlight w:val="none"/>
        </w:rPr>
        <w:t>项目施工现场。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left="56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ascii="仿宋" w:hAnsi="仿宋" w:eastAsia="仿宋" w:cs="仿宋_GB2312"/>
          <w:spacing w:val="-17"/>
          <w:sz w:val="24"/>
          <w:highlight w:val="none"/>
        </w:rPr>
      </w:pPr>
      <w:r>
        <w:rPr>
          <w:rFonts w:hint="eastAsia" w:ascii="仿宋" w:hAnsi="仿宋" w:eastAsia="仿宋" w:cs="仿宋_GB2312"/>
          <w:sz w:val="24"/>
          <w:highlight w:val="none"/>
          <w:u w:val="single"/>
        </w:rPr>
        <w:t>各投标单位报价须谨慎，一旦中标不得以任何理由变更报价</w:t>
      </w:r>
      <w:r>
        <w:rPr>
          <w:rFonts w:hint="eastAsia" w:ascii="仿宋" w:hAnsi="仿宋" w:eastAsia="仿宋" w:cs="仿宋_GB2312"/>
          <w:spacing w:val="-17"/>
          <w:sz w:val="24"/>
          <w:highlight w:val="none"/>
          <w:u w:val="singl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8、付款方式</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color w:val="000000" w:themeColor="text1"/>
          <w:sz w:val="24"/>
          <w:highlight w:val="none"/>
          <w:u w:val="single"/>
        </w:rPr>
        <w:t>合同签订后，</w:t>
      </w:r>
      <w:r>
        <w:rPr>
          <w:rFonts w:hint="eastAsia" w:ascii="仿宋" w:hAnsi="仿宋" w:eastAsia="仿宋" w:cs="仿宋"/>
          <w:color w:val="000000" w:themeColor="text1"/>
          <w:sz w:val="24"/>
          <w:highlight w:val="none"/>
          <w:u w:val="single"/>
        </w:rPr>
        <w:t>货到验收合格后开具发票，入账次月支付40%，春节前支付至80%，剩余20%该春节后两年内付清。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highlight w:val="none"/>
        </w:rPr>
        <w:t>本次招标设置控制价，具体见第八章第4条。</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19"/>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报价单（TGJA-WZ-20241</w:t>
      </w:r>
      <w:r>
        <w:rPr>
          <w:rFonts w:hint="eastAsia" w:ascii="仿宋" w:hAnsi="仿宋" w:eastAsia="仿宋"/>
          <w:b/>
          <w:sz w:val="28"/>
          <w:szCs w:val="28"/>
          <w:highlight w:val="none"/>
          <w:lang w:val="en-US" w:eastAsia="zh-CN"/>
        </w:rPr>
        <w:t>7</w:t>
      </w:r>
      <w:r>
        <w:rPr>
          <w:rFonts w:hint="eastAsia" w:ascii="仿宋" w:hAnsi="仿宋" w:eastAsia="仿宋"/>
          <w:b/>
          <w:sz w:val="28"/>
          <w:szCs w:val="28"/>
          <w:highlight w:val="none"/>
        </w:rPr>
        <w:t>）：</w:t>
      </w:r>
    </w:p>
    <w:tbl>
      <w:tblPr>
        <w:tblStyle w:val="46"/>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737"/>
        <w:gridCol w:w="1625"/>
        <w:gridCol w:w="650"/>
        <w:gridCol w:w="263"/>
        <w:gridCol w:w="989"/>
        <w:gridCol w:w="1293"/>
        <w:gridCol w:w="1418"/>
        <w:gridCol w:w="1275"/>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73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162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314"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不锈钢边框弹簧玻璃门</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4000*2700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4</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2</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不锈钢边框弹簧玻璃门</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1500*2400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3</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3</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不锈钢边框弹簧玻璃门</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3000*2700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4</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不锈钢边框弹簧玻璃门</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1800*2700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5</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不锈钢边框弹簧玻璃门</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3600*2700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6</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木门</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1500*2400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75</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7</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木门</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1100*2400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28</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8</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木门</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1200*2100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9</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钢制防盗门</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1100*2100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10</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甲级钢制平开防火门</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1500*2100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11</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甲级钢制平开防火门</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1100*2100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12</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甲级不锈钢防火卷帘</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2260*3600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13</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乙级钢制平开防火门</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1500*2100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16</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14</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丙级钢制平开防火门</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1500*2400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15</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丙级钢制平开防火门</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900*2100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12</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16</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丙级钢制平开防火门</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1500*2100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4</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17</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丙级钢制平开防火门</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2100*2400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18</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钢制防盗门</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1800*2100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8</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19</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钢制防盗门</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3900*3900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8</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20</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钢制防盗门</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1100*2100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21</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木门</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1100*2100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22</w:t>
            </w:r>
          </w:p>
        </w:tc>
        <w:tc>
          <w:tcPr>
            <w:tcW w:w="273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木门</w:t>
            </w:r>
          </w:p>
        </w:tc>
        <w:tc>
          <w:tcPr>
            <w:tcW w:w="1625"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1500*2100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4</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23</w:t>
            </w:r>
          </w:p>
        </w:tc>
        <w:tc>
          <w:tcPr>
            <w:tcW w:w="273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甲级钢制平开防火门</w:t>
            </w:r>
          </w:p>
        </w:tc>
        <w:tc>
          <w:tcPr>
            <w:tcW w:w="162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1500*2100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24</w:t>
            </w:r>
          </w:p>
        </w:tc>
        <w:tc>
          <w:tcPr>
            <w:tcW w:w="273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乙级钢制平开防火门</w:t>
            </w:r>
          </w:p>
        </w:tc>
        <w:tc>
          <w:tcPr>
            <w:tcW w:w="162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1500*2100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25</w:t>
            </w:r>
          </w:p>
        </w:tc>
        <w:tc>
          <w:tcPr>
            <w:tcW w:w="273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丙级钢制平开防火门</w:t>
            </w:r>
          </w:p>
        </w:tc>
        <w:tc>
          <w:tcPr>
            <w:tcW w:w="162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1500*2100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26</w:t>
            </w:r>
          </w:p>
        </w:tc>
        <w:tc>
          <w:tcPr>
            <w:tcW w:w="273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丙级钢制平开防火门</w:t>
            </w:r>
          </w:p>
        </w:tc>
        <w:tc>
          <w:tcPr>
            <w:tcW w:w="162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700*2100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27</w:t>
            </w:r>
          </w:p>
        </w:tc>
        <w:tc>
          <w:tcPr>
            <w:tcW w:w="273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不锈钢卷帘防火门</w:t>
            </w:r>
          </w:p>
        </w:tc>
        <w:tc>
          <w:tcPr>
            <w:tcW w:w="162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3000*3500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樘</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16</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2356" w:type="dxa"/>
            <w:gridSpan w:val="2"/>
            <w:vAlign w:val="center"/>
          </w:tcPr>
          <w:p>
            <w:pPr>
              <w:spacing w:line="400" w:lineRule="exact"/>
              <w:jc w:val="center"/>
              <w:rPr>
                <w:rFonts w:hint="eastAsia" w:ascii="仿宋" w:hAnsi="仿宋" w:eastAsia="仿宋" w:cs="仿宋"/>
                <w:sz w:val="24"/>
                <w:szCs w:val="24"/>
                <w:highlight w:val="none"/>
              </w:rPr>
            </w:pPr>
          </w:p>
        </w:tc>
        <w:tc>
          <w:tcPr>
            <w:tcW w:w="2314"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FF0000"/>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963" w:type="dxa"/>
            <w:gridSpan w:val="4"/>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5945"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2"/>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continue"/>
            <w:vAlign w:val="center"/>
          </w:tcPr>
          <w:p>
            <w:pPr>
              <w:spacing w:line="400" w:lineRule="exact"/>
              <w:jc w:val="center"/>
              <w:rPr>
                <w:rFonts w:ascii="仿宋" w:hAnsi="仿宋" w:eastAsia="仿宋"/>
                <w:sz w:val="24"/>
                <w:highlight w:val="none"/>
              </w:rPr>
            </w:pP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2"/>
            <w:vAlign w:val="center"/>
          </w:tcPr>
          <w:p>
            <w:pPr>
              <w:spacing w:line="400" w:lineRule="exact"/>
              <w:rPr>
                <w:rFonts w:ascii="仿宋" w:hAnsi="仿宋" w:eastAsia="仿宋"/>
                <w:sz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jc w:val="right"/>
    </w:pPr>
    <w:r>
      <w:pict>
        <v:shape id="文本框 2051" o:spid="_x0000_s2049"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path/>
          <v:fill on="f" focussize="0,0"/>
          <v:stroke on="f" joinstyle="miter"/>
          <v:imagedata o:title=""/>
          <o:lock v:ext="edit"/>
          <v:textbox inset="0mm,0mm,0mm,0mm" style="mso-fit-shape-to-text:t;">
            <w:txbxContent>
              <w:p>
                <w:pPr>
                  <w:pStyle w:val="30"/>
                  <w:rPr>
                    <w:rStyle w:val="50"/>
                  </w:rPr>
                </w:pPr>
                <w:r>
                  <w:fldChar w:fldCharType="begin"/>
                </w:r>
                <w:r>
                  <w:rPr>
                    <w:rStyle w:val="50"/>
                  </w:rPr>
                  <w:instrText xml:space="preserve">PAGE  </w:instrText>
                </w:r>
                <w:r>
                  <w:fldChar w:fldCharType="separate"/>
                </w:r>
                <w:r>
                  <w:rPr>
                    <w:rStyle w:val="50"/>
                  </w:rP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pict>
        <v:shape id="_x0000_i1025"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pict>
        <v:shape id="_x0000_i1026"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3945E07"/>
    <w:rsid w:val="15737884"/>
    <w:rsid w:val="15750C31"/>
    <w:rsid w:val="16B948A5"/>
    <w:rsid w:val="17D86D23"/>
    <w:rsid w:val="17F4775E"/>
    <w:rsid w:val="18AF15FD"/>
    <w:rsid w:val="19E94006"/>
    <w:rsid w:val="1ACA153B"/>
    <w:rsid w:val="1BBF797C"/>
    <w:rsid w:val="1DB63303"/>
    <w:rsid w:val="1DE26149"/>
    <w:rsid w:val="1DEE2CCA"/>
    <w:rsid w:val="1EB92EF2"/>
    <w:rsid w:val="1F17125C"/>
    <w:rsid w:val="1FAB30E7"/>
    <w:rsid w:val="2037683E"/>
    <w:rsid w:val="20637B7A"/>
    <w:rsid w:val="21115412"/>
    <w:rsid w:val="21A61884"/>
    <w:rsid w:val="221B22F9"/>
    <w:rsid w:val="221D09FC"/>
    <w:rsid w:val="22F91AE6"/>
    <w:rsid w:val="25590EC9"/>
    <w:rsid w:val="257F4BF0"/>
    <w:rsid w:val="25917440"/>
    <w:rsid w:val="25A13254"/>
    <w:rsid w:val="262F357C"/>
    <w:rsid w:val="2659211B"/>
    <w:rsid w:val="266C56F3"/>
    <w:rsid w:val="26A26CEB"/>
    <w:rsid w:val="27235E7D"/>
    <w:rsid w:val="276F4E38"/>
    <w:rsid w:val="2834446C"/>
    <w:rsid w:val="28B84042"/>
    <w:rsid w:val="299D4A4C"/>
    <w:rsid w:val="2A1902C2"/>
    <w:rsid w:val="2C6224E4"/>
    <w:rsid w:val="2C995D0F"/>
    <w:rsid w:val="2D3E7816"/>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CC4487"/>
    <w:rsid w:val="3E474521"/>
    <w:rsid w:val="3E583AD2"/>
    <w:rsid w:val="3FD0292A"/>
    <w:rsid w:val="3FF77603"/>
    <w:rsid w:val="413C763F"/>
    <w:rsid w:val="41B14926"/>
    <w:rsid w:val="41B46B47"/>
    <w:rsid w:val="41DA5117"/>
    <w:rsid w:val="424B79E0"/>
    <w:rsid w:val="42FA2D1F"/>
    <w:rsid w:val="434963F7"/>
    <w:rsid w:val="436B2C00"/>
    <w:rsid w:val="439F612A"/>
    <w:rsid w:val="441344E9"/>
    <w:rsid w:val="44842956"/>
    <w:rsid w:val="44B922E9"/>
    <w:rsid w:val="45086E27"/>
    <w:rsid w:val="465E02D2"/>
    <w:rsid w:val="48FC1957"/>
    <w:rsid w:val="499D4ACB"/>
    <w:rsid w:val="4AED5A83"/>
    <w:rsid w:val="4BC1413C"/>
    <w:rsid w:val="4C656785"/>
    <w:rsid w:val="4DFA18E0"/>
    <w:rsid w:val="4DFD24AF"/>
    <w:rsid w:val="4E822997"/>
    <w:rsid w:val="4ED20DFA"/>
    <w:rsid w:val="4F0F5DA2"/>
    <w:rsid w:val="4F397E6D"/>
    <w:rsid w:val="4FFE0E94"/>
    <w:rsid w:val="504C2BE7"/>
    <w:rsid w:val="51174B5C"/>
    <w:rsid w:val="51B50E5A"/>
    <w:rsid w:val="525C4A73"/>
    <w:rsid w:val="54285E4C"/>
    <w:rsid w:val="55306CD3"/>
    <w:rsid w:val="554830C1"/>
    <w:rsid w:val="56300F3A"/>
    <w:rsid w:val="56393E37"/>
    <w:rsid w:val="56B4262E"/>
    <w:rsid w:val="56F55D35"/>
    <w:rsid w:val="5777137F"/>
    <w:rsid w:val="57C94BFF"/>
    <w:rsid w:val="5807041D"/>
    <w:rsid w:val="583F79D3"/>
    <w:rsid w:val="58691989"/>
    <w:rsid w:val="58F960F8"/>
    <w:rsid w:val="59264D13"/>
    <w:rsid w:val="5B573321"/>
    <w:rsid w:val="5C1E1084"/>
    <w:rsid w:val="5EE27322"/>
    <w:rsid w:val="60921071"/>
    <w:rsid w:val="60F035C2"/>
    <w:rsid w:val="623446C7"/>
    <w:rsid w:val="633441F6"/>
    <w:rsid w:val="6352429E"/>
    <w:rsid w:val="63A94A71"/>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autoRedefine/>
    <w:qFormat/>
    <w:uiPriority w:val="0"/>
    <w:pPr>
      <w:keepNext/>
      <w:keepLines/>
      <w:spacing w:line="576" w:lineRule="auto"/>
      <w:outlineLvl w:val="0"/>
    </w:pPr>
    <w:rPr>
      <w:b/>
      <w:bCs/>
      <w:kern w:val="44"/>
      <w:sz w:val="44"/>
      <w:szCs w:val="44"/>
    </w:rPr>
  </w:style>
  <w:style w:type="paragraph" w:styleId="3">
    <w:name w:val="heading 2"/>
    <w:basedOn w:val="1"/>
    <w:next w:val="1"/>
    <w:link w:val="146"/>
    <w:autoRedefine/>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autoRedefine/>
    <w:qFormat/>
    <w:uiPriority w:val="0"/>
    <w:pPr>
      <w:keepNext/>
      <w:keepLines/>
      <w:spacing w:line="415" w:lineRule="auto"/>
      <w:outlineLvl w:val="2"/>
    </w:pPr>
    <w:rPr>
      <w:b/>
      <w:bCs/>
      <w:sz w:val="32"/>
      <w:szCs w:val="32"/>
    </w:rPr>
  </w:style>
  <w:style w:type="paragraph" w:styleId="5">
    <w:name w:val="heading 4"/>
    <w:basedOn w:val="1"/>
    <w:next w:val="1"/>
    <w:link w:val="138"/>
    <w:autoRedefine/>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autoRedefine/>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autoRedefine/>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autoRedefine/>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autoRedefine/>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autoRedefine/>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1260"/>
      <w:jc w:val="left"/>
    </w:pPr>
    <w:rPr>
      <w:sz w:val="18"/>
      <w:szCs w:val="18"/>
    </w:rPr>
  </w:style>
  <w:style w:type="paragraph" w:styleId="12">
    <w:name w:val="Normal Indent"/>
    <w:basedOn w:val="1"/>
    <w:link w:val="128"/>
    <w:autoRedefine/>
    <w:qFormat/>
    <w:uiPriority w:val="0"/>
    <w:pPr>
      <w:ind w:firstLine="420" w:firstLineChars="200"/>
    </w:pPr>
  </w:style>
  <w:style w:type="paragraph" w:styleId="13">
    <w:name w:val="caption"/>
    <w:basedOn w:val="1"/>
    <w:next w:val="1"/>
    <w:autoRedefine/>
    <w:qFormat/>
    <w:uiPriority w:val="0"/>
    <w:rPr>
      <w:rFonts w:ascii="Cambria" w:hAnsi="Cambria" w:eastAsia="黑体"/>
      <w:sz w:val="20"/>
      <w:szCs w:val="20"/>
    </w:rPr>
  </w:style>
  <w:style w:type="paragraph" w:styleId="14">
    <w:name w:val="List Bullet"/>
    <w:basedOn w:val="1"/>
    <w:autoRedefine/>
    <w:qFormat/>
    <w:uiPriority w:val="0"/>
    <w:pPr>
      <w:tabs>
        <w:tab w:val="left" w:pos="845"/>
      </w:tabs>
      <w:spacing w:before="120" w:after="120" w:line="360" w:lineRule="auto"/>
      <w:ind w:left="845" w:hanging="425"/>
    </w:pPr>
    <w:rPr>
      <w:szCs w:val="20"/>
    </w:rPr>
  </w:style>
  <w:style w:type="paragraph" w:styleId="15">
    <w:name w:val="Document Map"/>
    <w:basedOn w:val="1"/>
    <w:link w:val="118"/>
    <w:autoRedefine/>
    <w:qFormat/>
    <w:uiPriority w:val="0"/>
    <w:pPr>
      <w:shd w:val="clear" w:color="auto" w:fill="000080"/>
    </w:pPr>
  </w:style>
  <w:style w:type="paragraph" w:styleId="16">
    <w:name w:val="annotation text"/>
    <w:basedOn w:val="1"/>
    <w:link w:val="112"/>
    <w:autoRedefine/>
    <w:qFormat/>
    <w:uiPriority w:val="0"/>
    <w:pPr>
      <w:jc w:val="left"/>
    </w:pPr>
  </w:style>
  <w:style w:type="paragraph" w:styleId="17">
    <w:name w:val="Body Text 3"/>
    <w:basedOn w:val="1"/>
    <w:autoRedefine/>
    <w:qFormat/>
    <w:uiPriority w:val="0"/>
    <w:rPr>
      <w:rFonts w:ascii="宋体"/>
      <w:sz w:val="24"/>
      <w:szCs w:val="20"/>
    </w:rPr>
  </w:style>
  <w:style w:type="paragraph" w:styleId="18">
    <w:name w:val="Body Text"/>
    <w:basedOn w:val="19"/>
    <w:next w:val="19"/>
    <w:link w:val="124"/>
    <w:autoRedefine/>
    <w:qFormat/>
    <w:uiPriority w:val="0"/>
    <w:rPr>
      <w:rFonts w:ascii="Times New Roman" w:cs="Times New Roman"/>
      <w:color w:val="auto"/>
      <w:kern w:val="2"/>
      <w:sz w:val="21"/>
    </w:rPr>
  </w:style>
  <w:style w:type="paragraph" w:customStyle="1" w:styleId="19">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0">
    <w:name w:val="Body Text Indent"/>
    <w:basedOn w:val="1"/>
    <w:autoRedefine/>
    <w:qFormat/>
    <w:uiPriority w:val="0"/>
    <w:pPr>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131"/>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132"/>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137"/>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16"/>
    <w:next w:val="16"/>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22"/>
    <w:rPr>
      <w:b/>
      <w:bCs/>
    </w:rPr>
  </w:style>
  <w:style w:type="character" w:styleId="50">
    <w:name w:val="page number"/>
    <w:qFormat/>
    <w:uiPriority w:val="0"/>
  </w:style>
  <w:style w:type="character" w:styleId="51">
    <w:name w:val="FollowedHyperlink"/>
    <w:autoRedefine/>
    <w:qFormat/>
    <w:uiPriority w:val="0"/>
    <w:rPr>
      <w:color w:val="000000"/>
      <w:u w:val="none"/>
    </w:rPr>
  </w:style>
  <w:style w:type="character" w:styleId="52">
    <w:name w:val="Emphasis"/>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paragraph" w:customStyle="1" w:styleId="56">
    <w:name w:val="样式3"/>
    <w:basedOn w:val="4"/>
    <w:autoRedefine/>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2"/>
    <w:link w:val="135"/>
    <w:autoRedefine/>
    <w:qFormat/>
    <w:uiPriority w:val="0"/>
    <w:pPr>
      <w:spacing w:line="413" w:lineRule="auto"/>
    </w:pPr>
    <w:rPr>
      <w:rFonts w:eastAsia="宋体"/>
      <w:kern w:val="0"/>
      <w:sz w:val="24"/>
    </w:rPr>
  </w:style>
  <w:style w:type="paragraph" w:customStyle="1" w:styleId="59">
    <w:name w:val="正文1"/>
    <w:autoRedefine/>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0"/>
    <w:autoRedefine/>
    <w:qFormat/>
    <w:uiPriority w:val="0"/>
    <w:pPr>
      <w:adjustRightInd w:val="0"/>
      <w:spacing w:line="300" w:lineRule="auto"/>
      <w:ind w:left="0" w:leftChars="0" w:firstLine="454"/>
      <w:textAlignment w:val="baseline"/>
    </w:pPr>
    <w:rPr>
      <w:szCs w:val="20"/>
    </w:rPr>
  </w:style>
  <w:style w:type="paragraph" w:customStyle="1" w:styleId="63">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5"/>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autoRedefine/>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autoRedefine/>
    <w:qFormat/>
    <w:uiPriority w:val="0"/>
    <w:rPr>
      <w:i/>
      <w:iCs/>
      <w:color w:val="000000"/>
      <w:szCs w:val="22"/>
    </w:rPr>
  </w:style>
  <w:style w:type="paragraph" w:customStyle="1" w:styleId="69">
    <w:name w:val="A2"/>
    <w:basedOn w:val="25"/>
    <w:autoRedefine/>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autoRedefine/>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autoRedefine/>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autoRedefine/>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autoRedefine/>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autoRedefine/>
    <w:qFormat/>
    <w:uiPriority w:val="0"/>
    <w:pPr>
      <w:ind w:firstLine="420" w:firstLineChars="200"/>
    </w:pPr>
    <w:rPr>
      <w:rFonts w:ascii="Calibri" w:hAnsi="Calibri"/>
      <w:szCs w:val="22"/>
    </w:rPr>
  </w:style>
  <w:style w:type="paragraph" w:customStyle="1" w:styleId="81">
    <w:name w:val="样式1"/>
    <w:basedOn w:val="4"/>
    <w:autoRedefine/>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autoRedefine/>
    <w:qFormat/>
    <w:uiPriority w:val="0"/>
  </w:style>
  <w:style w:type="paragraph" w:customStyle="1" w:styleId="87">
    <w:name w:val="A3"/>
    <w:basedOn w:val="64"/>
    <w:autoRedefine/>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autoRedefine/>
    <w:qFormat/>
    <w:uiPriority w:val="0"/>
  </w:style>
  <w:style w:type="paragraph" w:customStyle="1" w:styleId="92">
    <w:name w:val="浅色底纹 - 强调文字颜色 21"/>
    <w:basedOn w:val="1"/>
    <w:next w:val="1"/>
    <w:link w:val="122"/>
    <w:autoRedefine/>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autoRedefine/>
    <w:qFormat/>
    <w:uiPriority w:val="0"/>
    <w:pPr>
      <w:outlineLvl w:val="9"/>
    </w:pPr>
    <w:rPr>
      <w:rFonts w:ascii="Calibri" w:hAnsi="Calibri"/>
    </w:rPr>
  </w:style>
  <w:style w:type="paragraph" w:customStyle="1" w:styleId="95">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6"/>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5"/>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8"/>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2"/>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5"/>
    <w:qFormat/>
    <w:uiPriority w:val="0"/>
    <w:rPr>
      <w:rFonts w:ascii="Courier New" w:hAnsi="Courier New" w:eastAsia="宋体"/>
      <w:kern w:val="2"/>
      <w:sz w:val="21"/>
      <w:lang w:val="en-US" w:eastAsia="zh-CN" w:bidi="ar-SA"/>
    </w:rPr>
  </w:style>
  <w:style w:type="character" w:customStyle="1" w:styleId="132">
    <w:name w:val="页眉 Char"/>
    <w:link w:val="31"/>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4"/>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1</TotalTime>
  <ScaleCrop>false</ScaleCrop>
  <LinksUpToDate>false</LinksUpToDate>
  <CharactersWithSpaces>4783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2024-01-17T06:58:00Z</cp:lastPrinted>
  <dcterms:modified xsi:type="dcterms:W3CDTF">2024-01-29T01:39:53Z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