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仿宋"/>
          <w:b/>
          <w:bCs/>
          <w:kern w:val="1"/>
          <w:sz w:val="44"/>
          <w:szCs w:val="44"/>
          <w:u w:val="single"/>
          <w:lang w:val="en-US" w:eastAsia="zh-CN"/>
        </w:rPr>
      </w:pPr>
      <w:r>
        <w:rPr>
          <w:rFonts w:hint="eastAsia" w:ascii="仿宋" w:hAnsi="仿宋" w:eastAsia="仿宋" w:cs="宋体"/>
          <w:b/>
          <w:bCs/>
          <w:kern w:val="1"/>
          <w:sz w:val="44"/>
          <w:szCs w:val="44"/>
          <w:u w:val="single"/>
          <w:lang w:eastAsia="zh-CN"/>
        </w:rPr>
        <w:t>建材公司固化剂材料</w:t>
      </w:r>
      <w:r>
        <w:rPr>
          <w:rFonts w:hint="eastAsia" w:ascii="仿宋" w:hAnsi="仿宋" w:eastAsia="仿宋" w:cs="仿宋"/>
          <w:b/>
          <w:bCs/>
          <w:kern w:val="1"/>
          <w:sz w:val="44"/>
          <w:szCs w:val="44"/>
          <w:u w:val="single"/>
          <w:lang w:eastAsia="zh-CN"/>
        </w:rPr>
        <w:t>Ⅲ</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69</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17</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23</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23</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22</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w:t>
      </w:r>
      <w:r>
        <w:rPr>
          <w:rFonts w:hint="eastAsia" w:ascii="仿宋" w:hAnsi="仿宋" w:eastAsia="仿宋" w:cs="仿宋_GB2312"/>
          <w:b/>
          <w:bCs/>
          <w:sz w:val="24"/>
          <w:u w:val="single"/>
          <w:lang w:eastAsia="zh-CN"/>
        </w:rPr>
        <w:t>建材公司固化剂</w:t>
      </w:r>
      <w:r>
        <w:rPr>
          <w:rFonts w:hint="eastAsia" w:ascii="仿宋" w:hAnsi="仿宋" w:eastAsia="仿宋" w:cs="仿宋_GB2312"/>
          <w:b/>
          <w:bCs/>
          <w:sz w:val="24"/>
          <w:u w:val="single"/>
          <w:lang w:val="en-US" w:eastAsia="zh-CN"/>
        </w:rPr>
        <w:t>材料</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69</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23</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hint="eastAsia" w:ascii="仿宋" w:hAnsi="仿宋" w:eastAsia="仿宋" w:cs="仿宋"/>
          <w:sz w:val="24"/>
          <w:szCs w:val="24"/>
        </w:rPr>
      </w:pPr>
      <w:r>
        <w:rPr>
          <w:rFonts w:hint="eastAsia" w:ascii="仿宋" w:hAnsi="仿宋" w:eastAsia="仿宋" w:cs="仿宋_GB2312"/>
          <w:sz w:val="24"/>
        </w:rPr>
        <w:t>1、本</w:t>
      </w:r>
      <w:r>
        <w:rPr>
          <w:rFonts w:hint="eastAsia" w:ascii="仿宋" w:hAnsi="仿宋" w:eastAsia="仿宋" w:cs="仿宋"/>
          <w:sz w:val="24"/>
          <w:szCs w:val="24"/>
        </w:rPr>
        <w:t>次招标材料的质量相关要求</w:t>
      </w:r>
    </w:p>
    <w:p>
      <w:pPr>
        <w:spacing w:line="560" w:lineRule="exact"/>
        <w:ind w:firstLine="547" w:firstLineChars="228"/>
        <w:rPr>
          <w:rFonts w:hint="eastAsia" w:ascii="仿宋" w:hAnsi="仿宋" w:eastAsia="仿宋" w:cs="仿宋"/>
          <w:sz w:val="24"/>
          <w:szCs w:val="24"/>
        </w:rPr>
      </w:pPr>
      <w:r>
        <w:rPr>
          <w:rFonts w:hint="eastAsia" w:ascii="仿宋" w:hAnsi="仿宋" w:eastAsia="仿宋" w:cs="仿宋"/>
          <w:sz w:val="24"/>
          <w:szCs w:val="24"/>
        </w:rPr>
        <w:t>（1）材料质量要求</w:t>
      </w:r>
    </w:p>
    <w:tbl>
      <w:tblPr>
        <w:tblStyle w:val="46"/>
        <w:tblW w:w="7319" w:type="dxa"/>
        <w:tblInd w:w="0" w:type="dxa"/>
        <w:shd w:val="clear" w:color="auto" w:fill="auto"/>
        <w:tblLayout w:type="fixed"/>
        <w:tblCellMar>
          <w:top w:w="0" w:type="dxa"/>
          <w:left w:w="0" w:type="dxa"/>
          <w:bottom w:w="0" w:type="dxa"/>
          <w:right w:w="0" w:type="dxa"/>
        </w:tblCellMar>
      </w:tblPr>
      <w:tblGrid>
        <w:gridCol w:w="1170"/>
        <w:gridCol w:w="2265"/>
        <w:gridCol w:w="3884"/>
      </w:tblGrid>
      <w:tr>
        <w:tblPrEx>
          <w:shd w:val="clear" w:color="auto" w:fill="auto"/>
          <w:tblCellMar>
            <w:top w:w="0" w:type="dxa"/>
            <w:left w:w="0" w:type="dxa"/>
            <w:bottom w:w="0" w:type="dxa"/>
            <w:right w:w="0" w:type="dxa"/>
          </w:tblCellMar>
        </w:tblPrEx>
        <w:trPr>
          <w:trHeight w:val="400" w:hRule="atLeast"/>
        </w:trPr>
        <w:tc>
          <w:tcPr>
            <w:tcW w:w="7319"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固化剂招标技术参数</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1</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外观</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均匀一致，不应有结块，颜色稳定</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2</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含水率</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≤1%</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3</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密度</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≥2.5g/cm</w:t>
            </w:r>
            <w:r>
              <w:rPr>
                <w:rStyle w:val="153"/>
                <w:rFonts w:eastAsia="宋体"/>
                <w:lang w:val="en-US" w:eastAsia="zh-CN" w:bidi="ar"/>
              </w:rPr>
              <w:t>3</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4</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细度</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80</w:t>
            </w:r>
            <w:r>
              <w:rPr>
                <w:rStyle w:val="154"/>
                <w:lang w:val="en-US" w:eastAsia="zh-CN" w:bidi="ar"/>
              </w:rPr>
              <w:t>μ</w:t>
            </w:r>
            <w:r>
              <w:rPr>
                <w:rFonts w:hint="default" w:ascii="Calibri" w:hAnsi="Calibri" w:eastAsia="宋体" w:cs="Calibri"/>
                <w:i w:val="0"/>
                <w:color w:val="000000"/>
                <w:kern w:val="0"/>
                <w:sz w:val="24"/>
                <w:szCs w:val="24"/>
                <w:u w:val="none"/>
                <w:lang w:val="en-US" w:eastAsia="zh-CN" w:bidi="ar"/>
              </w:rPr>
              <w:t>m</w:t>
            </w:r>
            <w:r>
              <w:rPr>
                <w:rStyle w:val="154"/>
                <w:lang w:val="en-US" w:eastAsia="zh-CN" w:bidi="ar"/>
              </w:rPr>
              <w:t>方孔筛余应不大于</w:t>
            </w:r>
            <w:r>
              <w:rPr>
                <w:rFonts w:hint="default" w:ascii="Calibri" w:hAnsi="Calibri" w:eastAsia="宋体" w:cs="Calibri"/>
                <w:i w:val="0"/>
                <w:color w:val="000000"/>
                <w:kern w:val="0"/>
                <w:sz w:val="24"/>
                <w:szCs w:val="24"/>
                <w:u w:val="none"/>
                <w:lang w:val="en-US" w:eastAsia="zh-CN" w:bidi="ar"/>
              </w:rPr>
              <w:t>10%</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5</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凝结时间影响系数比</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r>
              <w:rPr>
                <w:rFonts w:hint="default" w:ascii="Calibri" w:hAnsi="Calibri" w:eastAsia="宋体" w:cs="Calibri"/>
                <w:i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无侧限抗压强度比</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r>
              <w:rPr>
                <w:rFonts w:hint="default" w:ascii="Calibri" w:hAnsi="Calibri" w:eastAsia="宋体" w:cs="Calibri"/>
                <w:i w:val="0"/>
                <w:color w:val="000000"/>
                <w:kern w:val="0"/>
                <w:sz w:val="24"/>
                <w:szCs w:val="24"/>
                <w:u w:val="none"/>
                <w:lang w:val="en-US" w:eastAsia="zh-CN" w:bidi="ar"/>
              </w:rPr>
              <w:t>120%</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4"/>
                <w:szCs w:val="24"/>
                <w:u w:val="none"/>
              </w:rPr>
            </w:pPr>
            <w:r>
              <w:rPr>
                <w:rFonts w:hint="default" w:ascii="Calibri" w:hAnsi="Calibri" w:eastAsia="宋体" w:cs="Calibri"/>
                <w:i w:val="0"/>
                <w:color w:val="000000"/>
                <w:kern w:val="0"/>
                <w:sz w:val="24"/>
                <w:szCs w:val="24"/>
                <w:u w:val="none"/>
                <w:lang w:val="en-US" w:eastAsia="zh-CN" w:bidi="ar"/>
              </w:rPr>
              <w:t>7</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水稳系数比</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r>
              <w:rPr>
                <w:rFonts w:hint="default" w:ascii="Calibri" w:hAnsi="Calibri" w:eastAsia="宋体" w:cs="Calibri"/>
                <w:i w:val="0"/>
                <w:color w:val="000000"/>
                <w:kern w:val="0"/>
                <w:sz w:val="24"/>
                <w:szCs w:val="24"/>
                <w:u w:val="none"/>
                <w:lang w:val="en-US" w:eastAsia="zh-CN" w:bidi="ar"/>
              </w:rPr>
              <w:t>105%</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28d胶结强度</w:t>
            </w:r>
          </w:p>
        </w:tc>
        <w:tc>
          <w:tcPr>
            <w:tcW w:w="3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≥2.5MPa</w:t>
            </w:r>
          </w:p>
        </w:tc>
      </w:tr>
      <w:tr>
        <w:tblPrEx>
          <w:tblCellMar>
            <w:top w:w="0" w:type="dxa"/>
            <w:left w:w="0" w:type="dxa"/>
            <w:bottom w:w="0" w:type="dxa"/>
            <w:right w:w="0" w:type="dxa"/>
          </w:tblCellMar>
        </w:tblPrEx>
        <w:trPr>
          <w:trHeight w:val="40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备注1：</w:t>
            </w:r>
          </w:p>
        </w:tc>
        <w:tc>
          <w:tcPr>
            <w:tcW w:w="61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标准参考CJ/T 486-2015 ；Q/TGJC01—2022</w:t>
            </w:r>
          </w:p>
        </w:tc>
      </w:tr>
    </w:tbl>
    <w:p>
      <w:pPr>
        <w:spacing w:line="560" w:lineRule="exact"/>
        <w:ind w:firstLine="547" w:firstLineChars="228"/>
        <w:jc w:val="left"/>
        <w:rPr>
          <w:rFonts w:hint="eastAsia" w:ascii="仿宋" w:hAnsi="仿宋" w:eastAsia="仿宋" w:cs="仿宋"/>
          <w:b w:val="0"/>
          <w:bCs w:val="0"/>
          <w:sz w:val="24"/>
          <w:szCs w:val="24"/>
        </w:rPr>
      </w:pPr>
      <w:r>
        <w:rPr>
          <w:rFonts w:hint="eastAsia" w:ascii="仿宋" w:hAnsi="仿宋" w:eastAsia="仿宋" w:cs="仿宋"/>
          <w:sz w:val="24"/>
          <w:szCs w:val="24"/>
        </w:rPr>
        <w:t>（2）</w:t>
      </w:r>
      <w:r>
        <w:rPr>
          <w:rFonts w:hint="eastAsia" w:ascii="仿宋" w:hAnsi="仿宋" w:eastAsia="仿宋" w:cs="仿宋"/>
          <w:b w:val="0"/>
          <w:bCs w:val="0"/>
          <w:sz w:val="24"/>
          <w:szCs w:val="24"/>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480" w:firstLineChars="200"/>
        <w:jc w:val="left"/>
        <w:rPr>
          <w:rFonts w:hint="eastAsia" w:ascii="仿宋" w:hAnsi="仿宋" w:eastAsia="仿宋" w:cs="仿宋"/>
          <w:sz w:val="24"/>
          <w:szCs w:val="24"/>
        </w:rPr>
      </w:pPr>
      <w:r>
        <w:rPr>
          <w:rFonts w:hint="eastAsia" w:ascii="仿宋" w:hAnsi="仿宋" w:eastAsia="仿宋" w:cs="仿宋"/>
          <w:b w:val="0"/>
          <w:bCs w:val="0"/>
          <w:sz w:val="24"/>
          <w:szCs w:val="24"/>
        </w:rPr>
        <w:t>（3）</w:t>
      </w:r>
      <w:r>
        <w:rPr>
          <w:rFonts w:hint="eastAsia" w:ascii="仿宋" w:hAnsi="仿宋" w:eastAsia="仿宋" w:cs="仿宋"/>
          <w:b w:val="0"/>
          <w:bCs w:val="0"/>
          <w:sz w:val="24"/>
          <w:szCs w:val="24"/>
          <w:lang w:eastAsia="zh-CN"/>
        </w:rPr>
        <w:t>胶</w:t>
      </w:r>
      <w:r>
        <w:rPr>
          <w:rFonts w:hint="eastAsia" w:ascii="仿宋" w:hAnsi="仿宋" w:eastAsia="仿宋" w:cs="仿宋"/>
          <w:b w:val="0"/>
          <w:bCs w:val="0"/>
          <w:i w:val="0"/>
          <w:caps w:val="0"/>
          <w:color w:val="171A1D"/>
          <w:spacing w:val="0"/>
          <w:sz w:val="24"/>
          <w:szCs w:val="24"/>
          <w:shd w:val="clear" w:color="auto" w:fill="FFFFFF"/>
        </w:rPr>
        <w:t>凝材料成品试块质量每月应有90%的批次符合建材公司相关企业标准，低于90%的每批次扣除货款2000元</w:t>
      </w:r>
      <w:r>
        <w:rPr>
          <w:rFonts w:hint="eastAsia" w:ascii="仿宋" w:hAnsi="仿宋" w:eastAsia="仿宋" w:cs="仿宋"/>
          <w:sz w:val="24"/>
          <w:szCs w:val="24"/>
        </w:rPr>
        <w:t>。</w:t>
      </w:r>
    </w:p>
    <w:p>
      <w:pPr>
        <w:spacing w:line="360" w:lineRule="auto"/>
        <w:ind w:firstLine="547" w:firstLineChars="228"/>
        <w:rPr>
          <w:rFonts w:hint="eastAsia" w:ascii="仿宋" w:hAnsi="仿宋" w:eastAsia="仿宋" w:cs="仿宋"/>
          <w:sz w:val="24"/>
          <w:szCs w:val="24"/>
        </w:rPr>
      </w:pPr>
      <w:r>
        <w:rPr>
          <w:rFonts w:hint="eastAsia" w:ascii="仿宋" w:hAnsi="仿宋" w:eastAsia="仿宋" w:cs="仿宋"/>
          <w:sz w:val="24"/>
          <w:szCs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
          <w:sz w:val="24"/>
          <w:szCs w:val="24"/>
          <w:u w:val="single"/>
        </w:rPr>
        <w:t>一年内</w:t>
      </w:r>
      <w:r>
        <w:rPr>
          <w:rFonts w:hint="eastAsia" w:ascii="仿宋" w:hAnsi="仿宋" w:eastAsia="仿宋" w:cs="仿宋"/>
          <w:sz w:val="24"/>
          <w:szCs w:val="24"/>
        </w:rPr>
        <w:t>禁止参加铜冠建安公司招标。</w:t>
      </w:r>
    </w:p>
    <w:p>
      <w:pPr>
        <w:spacing w:line="360" w:lineRule="auto"/>
        <w:ind w:firstLine="547" w:firstLineChars="228"/>
        <w:rPr>
          <w:rFonts w:hint="eastAsia" w:ascii="仿宋" w:hAnsi="仿宋" w:eastAsia="仿宋" w:cs="仿宋"/>
          <w:sz w:val="24"/>
          <w:szCs w:val="24"/>
        </w:rPr>
      </w:pPr>
      <w:r>
        <w:rPr>
          <w:rFonts w:hint="eastAsia" w:ascii="仿宋" w:hAnsi="仿宋" w:eastAsia="仿宋" w:cs="仿宋"/>
          <w:sz w:val="24"/>
          <w:szCs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
          <w:sz w:val="24"/>
          <w:szCs w:val="24"/>
          <w:lang w:eastAsia="zh-CN"/>
        </w:rPr>
        <w:t>建材公司固化剂</w:t>
      </w:r>
      <w:r>
        <w:rPr>
          <w:rFonts w:hint="eastAsia" w:ascii="仿宋" w:hAnsi="仿宋" w:eastAsia="仿宋" w:cs="仿宋_GB2312"/>
          <w:sz w:val="24"/>
          <w:lang w:eastAsia="zh-CN"/>
        </w:rPr>
        <w:t>原料料仓</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560" w:lineRule="exact"/>
        <w:ind w:left="560" w:firstLine="240" w:firstLineChars="100"/>
        <w:rPr>
          <w:rFonts w:hint="default" w:ascii="仿宋" w:hAnsi="仿宋" w:eastAsia="仿宋" w:cs="仿宋_GB2312"/>
          <w:sz w:val="24"/>
          <w:szCs w:val="24"/>
          <w:lang w:val="en-US" w:eastAsia="zh-C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w:t>
      </w:r>
      <w:r>
        <w:rPr>
          <w:rFonts w:hint="eastAsia" w:ascii="仿宋" w:hAnsi="仿宋" w:eastAsia="仿宋" w:cs="仿宋_GB2312"/>
          <w:sz w:val="24"/>
          <w:szCs w:val="24"/>
          <w:u w:val="single"/>
        </w:rPr>
        <w:t>税率为13%）</w:t>
      </w:r>
      <w:r>
        <w:rPr>
          <w:rFonts w:hint="eastAsia" w:ascii="仿宋" w:hAnsi="仿宋" w:eastAsia="仿宋" w:cs="仿宋_GB2312"/>
          <w:color w:val="000000"/>
          <w:sz w:val="24"/>
          <w:szCs w:val="24"/>
          <w:u w:val="single"/>
        </w:rPr>
        <w:t>。</w:t>
      </w:r>
      <w:r>
        <w:rPr>
          <w:rFonts w:hint="eastAsia" w:ascii="仿宋" w:hAnsi="仿宋" w:eastAsia="仿宋" w:cs="仿宋_GB2312"/>
          <w:sz w:val="24"/>
          <w:szCs w:val="24"/>
          <w:highlight w:val="none"/>
          <w:u w:val="single"/>
          <w:lang w:eastAsia="zh-CN"/>
        </w:rPr>
        <w:t>拦标价：</w:t>
      </w:r>
      <w:r>
        <w:rPr>
          <w:rFonts w:hint="eastAsia" w:ascii="仿宋" w:hAnsi="仿宋" w:eastAsia="仿宋" w:cs="仿宋_GB2312"/>
          <w:sz w:val="24"/>
          <w:szCs w:val="24"/>
          <w:highlight w:val="none"/>
          <w:u w:val="single"/>
          <w:lang w:val="en-US" w:eastAsia="zh-CN"/>
        </w:rPr>
        <w:t>700元/吨（含13%税含运费一票制）。</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w:t>
      </w:r>
      <w:r>
        <w:rPr>
          <w:rFonts w:hint="eastAsia" w:ascii="仿宋" w:hAnsi="仿宋" w:eastAsia="仿宋" w:cs="仿宋_GB2312"/>
          <w:sz w:val="24"/>
          <w:lang w:eastAsia="zh-CN"/>
        </w:rPr>
        <w:t>建材</w:t>
      </w:r>
      <w:r>
        <w:rPr>
          <w:rFonts w:hint="eastAsia" w:ascii="仿宋" w:hAnsi="仿宋" w:eastAsia="仿宋" w:cs="仿宋_GB2312"/>
          <w:sz w:val="24"/>
        </w:rPr>
        <w:t>公司</w:t>
      </w:r>
      <w:r>
        <w:rPr>
          <w:rFonts w:hint="eastAsia" w:ascii="仿宋" w:hAnsi="仿宋" w:eastAsia="仿宋" w:cs="仿宋_GB2312"/>
          <w:sz w:val="24"/>
          <w:lang w:eastAsia="zh-CN"/>
        </w:rPr>
        <w:t>过磅磅单</w:t>
      </w:r>
      <w:r>
        <w:rPr>
          <w:rFonts w:hint="eastAsia" w:ascii="仿宋" w:hAnsi="仿宋" w:eastAsia="仿宋" w:cs="仿宋_GB2312"/>
          <w:sz w:val="24"/>
        </w:rPr>
        <w:t>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
          <w:color w:val="000000" w:themeColor="text1"/>
          <w:sz w:val="24"/>
          <w:szCs w:val="24"/>
          <w:highlight w:val="none"/>
          <w:u w:val="single"/>
          <w14:textFill>
            <w14:solidFill>
              <w14:schemeClr w14:val="tx1"/>
            </w14:solidFill>
          </w14:textFill>
        </w:rPr>
        <w:t>入账次月支付</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4"/>
          <w:szCs w:val="24"/>
          <w:highlight w:val="none"/>
          <w:u w:val="single"/>
          <w:shd w:val="clear" w:color="auto" w:fill="FFFFFF"/>
        </w:rPr>
        <w:t>货款以对公转账方式支付，</w:t>
      </w:r>
      <w:r>
        <w:rPr>
          <w:rFonts w:hint="eastAsia" w:ascii="仿宋" w:hAnsi="仿宋" w:eastAsia="仿宋" w:cs="仿宋"/>
          <w:i w:val="0"/>
          <w:iCs w:val="0"/>
          <w:caps w:val="0"/>
          <w:color w:val="171A1D"/>
          <w:spacing w:val="0"/>
          <w:sz w:val="24"/>
          <w:szCs w:val="24"/>
          <w:highlight w:val="none"/>
          <w:u w:val="single"/>
          <w:shd w:val="clear" w:color="auto" w:fill="FFFFFF"/>
          <w:lang w:eastAsia="zh-CN"/>
        </w:rPr>
        <w:t>支付</w:t>
      </w:r>
      <w:r>
        <w:rPr>
          <w:rFonts w:hint="eastAsia" w:ascii="仿宋" w:hAnsi="仿宋" w:eastAsia="仿宋" w:cs="仿宋"/>
          <w:i w:val="0"/>
          <w:iCs w:val="0"/>
          <w:caps w:val="0"/>
          <w:color w:val="171A1D"/>
          <w:spacing w:val="0"/>
          <w:sz w:val="24"/>
          <w:szCs w:val="24"/>
          <w:highlight w:val="none"/>
          <w:u w:val="single"/>
          <w:shd w:val="clear" w:color="auto" w:fill="FFFFFF"/>
        </w:rPr>
        <w:t>电汇</w:t>
      </w:r>
      <w:r>
        <w:rPr>
          <w:rFonts w:hint="eastAsia" w:ascii="仿宋" w:hAnsi="仿宋" w:eastAsia="仿宋" w:cs="仿宋"/>
          <w:i w:val="0"/>
          <w:iCs w:val="0"/>
          <w:caps w:val="0"/>
          <w:color w:val="171A1D"/>
          <w:spacing w:val="0"/>
          <w:sz w:val="24"/>
          <w:szCs w:val="24"/>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4"/>
          <w:szCs w:val="24"/>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4"/>
          <w:szCs w:val="24"/>
          <w:u w:val="single"/>
          <w:shd w:val="clear" w:color="auto" w:fill="FFFFFF"/>
          <w:lang w:val="en-US" w:eastAsia="zh-CN"/>
        </w:rPr>
        <w:t>。中标单位与建材公司签订买卖合同，建材公司支付货款。</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hint="eastAsia" w:ascii="仿宋" w:hAnsi="仿宋" w:eastAsia="仿宋" w:cs="仿宋_GB2312"/>
          <w:b/>
          <w:sz w:val="32"/>
          <w:szCs w:val="32"/>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19"/>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bookmarkStart w:id="0" w:name="_GoBack"/>
      <w:bookmarkEnd w:id="0"/>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69</w:t>
      </w:r>
      <w:r>
        <w:rPr>
          <w:rFonts w:hint="eastAsia" w:ascii="仿宋" w:hAnsi="仿宋" w:eastAsia="仿宋"/>
          <w:b/>
          <w:sz w:val="24"/>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2045"/>
        <w:gridCol w:w="1596"/>
        <w:gridCol w:w="954"/>
        <w:gridCol w:w="73"/>
        <w:gridCol w:w="1155"/>
        <w:gridCol w:w="1868"/>
        <w:gridCol w:w="2110"/>
        <w:gridCol w:w="1277"/>
        <w:gridCol w:w="1517"/>
        <w:gridCol w:w="93"/>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53" w:type="dxa"/>
            <w:vAlign w:val="center"/>
          </w:tcPr>
          <w:p>
            <w:pPr>
              <w:jc w:val="center"/>
              <w:rPr>
                <w:rFonts w:ascii="仿宋" w:hAnsi="仿宋" w:eastAsia="仿宋"/>
                <w:sz w:val="24"/>
              </w:rPr>
            </w:pPr>
            <w:r>
              <w:rPr>
                <w:rFonts w:hint="eastAsia" w:ascii="仿宋" w:hAnsi="仿宋" w:eastAsia="仿宋" w:cs="仿宋"/>
                <w:sz w:val="24"/>
              </w:rPr>
              <w:t>序号</w:t>
            </w:r>
          </w:p>
        </w:tc>
        <w:tc>
          <w:tcPr>
            <w:tcW w:w="2045" w:type="dxa"/>
            <w:vAlign w:val="center"/>
          </w:tcPr>
          <w:p>
            <w:pPr>
              <w:jc w:val="center"/>
              <w:rPr>
                <w:rFonts w:ascii="仿宋" w:hAnsi="仿宋" w:eastAsia="仿宋"/>
                <w:sz w:val="24"/>
              </w:rPr>
            </w:pPr>
            <w:r>
              <w:rPr>
                <w:rFonts w:hint="eastAsia" w:ascii="仿宋" w:hAnsi="仿宋" w:eastAsia="仿宋" w:cs="仿宋"/>
                <w:sz w:val="24"/>
              </w:rPr>
              <w:t>物料名称</w:t>
            </w:r>
          </w:p>
        </w:tc>
        <w:tc>
          <w:tcPr>
            <w:tcW w:w="1596" w:type="dxa"/>
            <w:vAlign w:val="center"/>
          </w:tcPr>
          <w:p>
            <w:pPr>
              <w:jc w:val="center"/>
              <w:rPr>
                <w:rFonts w:ascii="仿宋" w:hAnsi="仿宋" w:eastAsia="仿宋"/>
                <w:sz w:val="24"/>
              </w:rPr>
            </w:pPr>
            <w:r>
              <w:rPr>
                <w:rFonts w:hint="eastAsia" w:ascii="仿宋" w:hAnsi="仿宋" w:eastAsia="仿宋" w:cs="仿宋"/>
                <w:sz w:val="24"/>
              </w:rPr>
              <w:t>型号规格</w:t>
            </w:r>
          </w:p>
        </w:tc>
        <w:tc>
          <w:tcPr>
            <w:tcW w:w="954" w:type="dxa"/>
            <w:vAlign w:val="center"/>
          </w:tcPr>
          <w:p>
            <w:pPr>
              <w:jc w:val="center"/>
              <w:rPr>
                <w:rFonts w:ascii="仿宋" w:hAnsi="仿宋" w:eastAsia="仿宋"/>
                <w:sz w:val="24"/>
              </w:rPr>
            </w:pPr>
            <w:r>
              <w:rPr>
                <w:rFonts w:hint="eastAsia" w:ascii="仿宋" w:hAnsi="仿宋" w:eastAsia="仿宋" w:cs="仿宋"/>
                <w:sz w:val="24"/>
              </w:rPr>
              <w:t>单位</w:t>
            </w:r>
          </w:p>
        </w:tc>
        <w:tc>
          <w:tcPr>
            <w:tcW w:w="1228"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110" w:type="dxa"/>
            <w:vAlign w:val="center"/>
          </w:tcPr>
          <w:p>
            <w:pPr>
              <w:jc w:val="center"/>
              <w:rPr>
                <w:rFonts w:ascii="仿宋" w:hAnsi="仿宋" w:eastAsia="仿宋"/>
                <w:sz w:val="24"/>
              </w:rPr>
            </w:pPr>
            <w:r>
              <w:rPr>
                <w:rFonts w:hint="eastAsia" w:ascii="仿宋" w:hAnsi="仿宋" w:eastAsia="仿宋" w:cs="仿宋"/>
                <w:sz w:val="24"/>
              </w:rPr>
              <w:t>总价＊</w:t>
            </w:r>
          </w:p>
        </w:tc>
        <w:tc>
          <w:tcPr>
            <w:tcW w:w="2887"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2102"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53" w:type="dxa"/>
            <w:vAlign w:val="center"/>
          </w:tcPr>
          <w:p>
            <w:pPr>
              <w:jc w:val="center"/>
              <w:rPr>
                <w:rFonts w:ascii="仿宋" w:hAnsi="仿宋" w:eastAsia="仿宋"/>
                <w:sz w:val="24"/>
              </w:rPr>
            </w:pPr>
            <w:r>
              <w:rPr>
                <w:rFonts w:hint="eastAsia" w:ascii="仿宋" w:hAnsi="仿宋" w:eastAsia="仿宋" w:cs="仿宋"/>
                <w:sz w:val="24"/>
              </w:rPr>
              <w:t>1</w:t>
            </w:r>
          </w:p>
        </w:tc>
        <w:tc>
          <w:tcPr>
            <w:tcW w:w="2045" w:type="dxa"/>
            <w:vAlign w:val="center"/>
          </w:tcPr>
          <w:p>
            <w:pPr>
              <w:jc w:val="center"/>
              <w:rPr>
                <w:rFonts w:hint="eastAsia" w:ascii="仿宋" w:hAnsi="仿宋" w:eastAsia="仿宋"/>
                <w:sz w:val="24"/>
                <w:lang w:eastAsia="zh-CN"/>
              </w:rPr>
            </w:pPr>
            <w:r>
              <w:rPr>
                <w:rFonts w:hint="eastAsia" w:ascii="仿宋" w:hAnsi="仿宋" w:eastAsia="仿宋"/>
                <w:sz w:val="24"/>
                <w:lang w:eastAsia="zh-CN"/>
              </w:rPr>
              <w:t>固化剂</w:t>
            </w:r>
          </w:p>
        </w:tc>
        <w:tc>
          <w:tcPr>
            <w:tcW w:w="1596" w:type="dxa"/>
            <w:vAlign w:val="center"/>
          </w:tcPr>
          <w:p>
            <w:pPr>
              <w:widowControl/>
              <w:tabs>
                <w:tab w:val="left" w:pos="3360"/>
              </w:tabs>
              <w:jc w:val="center"/>
              <w:textAlignment w:val="center"/>
              <w:rPr>
                <w:rFonts w:hint="default" w:ascii="仿宋" w:hAnsi="仿宋" w:eastAsia="仿宋" w:cs="仿宋"/>
                <w:sz w:val="24"/>
                <w:lang w:val="en-US" w:eastAsia="zh-CN"/>
              </w:rPr>
            </w:pPr>
          </w:p>
        </w:tc>
        <w:tc>
          <w:tcPr>
            <w:tcW w:w="954"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吨</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500</w:t>
            </w:r>
          </w:p>
        </w:tc>
        <w:tc>
          <w:tcPr>
            <w:tcW w:w="1868" w:type="dxa"/>
            <w:vAlign w:val="center"/>
          </w:tcPr>
          <w:p>
            <w:pPr>
              <w:jc w:val="center"/>
              <w:rPr>
                <w:rFonts w:ascii="仿宋" w:hAnsi="仿宋" w:eastAsia="仿宋"/>
                <w:sz w:val="24"/>
              </w:rPr>
            </w:pPr>
          </w:p>
        </w:tc>
        <w:tc>
          <w:tcPr>
            <w:tcW w:w="2110" w:type="dxa"/>
            <w:vAlign w:val="center"/>
          </w:tcPr>
          <w:p>
            <w:pPr>
              <w:jc w:val="center"/>
              <w:rPr>
                <w:rFonts w:ascii="仿宋" w:hAnsi="仿宋" w:eastAsia="仿宋"/>
                <w:sz w:val="24"/>
              </w:rPr>
            </w:pPr>
          </w:p>
        </w:tc>
        <w:tc>
          <w:tcPr>
            <w:tcW w:w="2887"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2102" w:type="dxa"/>
            <w:vAlign w:val="center"/>
          </w:tcPr>
          <w:p>
            <w:pPr>
              <w:jc w:val="center"/>
              <w:rPr>
                <w:rFonts w:hint="default" w:ascii="仿宋" w:hAnsi="仿宋" w:eastAsia="仿宋"/>
                <w:sz w:val="24"/>
                <w:lang w:val="en-US" w:eastAsia="zh-CN"/>
              </w:rPr>
            </w:pPr>
            <w:r>
              <w:rPr>
                <w:rFonts w:hint="eastAsia" w:ascii="仿宋" w:hAnsi="仿宋" w:eastAsia="仿宋"/>
                <w:sz w:val="24"/>
                <w:lang w:eastAsia="zh-CN"/>
              </w:rPr>
              <w:t>供货时间：</w:t>
            </w:r>
            <w:r>
              <w:rPr>
                <w:rFonts w:hint="eastAsia" w:ascii="仿宋" w:hAnsi="仿宋" w:eastAsia="仿宋"/>
                <w:sz w:val="24"/>
                <w:lang w:val="en-US" w:eastAsia="zh-CN"/>
              </w:rPr>
              <w:t>2023.11-2023.12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653" w:type="dxa"/>
            <w:vAlign w:val="center"/>
          </w:tcPr>
          <w:p>
            <w:pPr>
              <w:jc w:val="center"/>
              <w:rPr>
                <w:rFonts w:hint="default" w:ascii="仿宋" w:hAnsi="仿宋" w:eastAsia="仿宋"/>
                <w:sz w:val="24"/>
                <w:lang w:val="en-US" w:eastAsia="zh-CN"/>
              </w:rPr>
            </w:pPr>
          </w:p>
        </w:tc>
        <w:tc>
          <w:tcPr>
            <w:tcW w:w="2045" w:type="dxa"/>
            <w:vAlign w:val="center"/>
          </w:tcPr>
          <w:p>
            <w:pPr>
              <w:jc w:val="center"/>
              <w:rPr>
                <w:sz w:val="24"/>
              </w:rPr>
            </w:pPr>
            <w:r>
              <w:rPr>
                <w:rFonts w:hint="eastAsia" w:ascii="仿宋" w:hAnsi="仿宋" w:eastAsia="仿宋" w:cs="仿宋"/>
                <w:sz w:val="24"/>
              </w:rPr>
              <w:t>合计＊</w:t>
            </w:r>
          </w:p>
        </w:tc>
        <w:tc>
          <w:tcPr>
            <w:tcW w:w="1596" w:type="dxa"/>
            <w:vAlign w:val="center"/>
          </w:tcPr>
          <w:p>
            <w:pPr>
              <w:jc w:val="center"/>
              <w:rPr>
                <w:sz w:val="24"/>
              </w:rPr>
            </w:pPr>
          </w:p>
        </w:tc>
        <w:tc>
          <w:tcPr>
            <w:tcW w:w="954" w:type="dxa"/>
            <w:vAlign w:val="center"/>
          </w:tcPr>
          <w:p>
            <w:pPr>
              <w:jc w:val="center"/>
              <w:rPr>
                <w:sz w:val="24"/>
              </w:rPr>
            </w:pPr>
          </w:p>
        </w:tc>
        <w:tc>
          <w:tcPr>
            <w:tcW w:w="1228" w:type="dxa"/>
            <w:gridSpan w:val="2"/>
            <w:vAlign w:val="center"/>
          </w:tcPr>
          <w:p>
            <w:pPr>
              <w:jc w:val="center"/>
              <w:rPr>
                <w:sz w:val="24"/>
              </w:rPr>
            </w:pPr>
          </w:p>
        </w:tc>
        <w:tc>
          <w:tcPr>
            <w:tcW w:w="1868" w:type="dxa"/>
            <w:vAlign w:val="center"/>
          </w:tcPr>
          <w:p>
            <w:pPr>
              <w:jc w:val="center"/>
              <w:rPr>
                <w:sz w:val="24"/>
              </w:rPr>
            </w:pPr>
          </w:p>
        </w:tc>
        <w:tc>
          <w:tcPr>
            <w:tcW w:w="2110" w:type="dxa"/>
            <w:vAlign w:val="center"/>
          </w:tcPr>
          <w:p>
            <w:pPr>
              <w:jc w:val="center"/>
              <w:rPr>
                <w:sz w:val="24"/>
              </w:rPr>
            </w:pPr>
          </w:p>
        </w:tc>
        <w:tc>
          <w:tcPr>
            <w:tcW w:w="2887" w:type="dxa"/>
            <w:gridSpan w:val="3"/>
            <w:vAlign w:val="center"/>
          </w:tcPr>
          <w:p>
            <w:pPr>
              <w:jc w:val="center"/>
              <w:rPr>
                <w:sz w:val="24"/>
              </w:rPr>
            </w:pPr>
          </w:p>
        </w:tc>
        <w:tc>
          <w:tcPr>
            <w:tcW w:w="210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ADC1CA4"/>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4136B9"/>
    <w:rsid w:val="25590EC9"/>
    <w:rsid w:val="257F4BF0"/>
    <w:rsid w:val="25A13254"/>
    <w:rsid w:val="26224251"/>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892FC6"/>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1C3044"/>
    <w:rsid w:val="645A1DAF"/>
    <w:rsid w:val="64940258"/>
    <w:rsid w:val="64940A1E"/>
    <w:rsid w:val="66B25202"/>
    <w:rsid w:val="68011FD1"/>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4F8183B"/>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19"/>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48"/>
    <w:qFormat/>
    <w:uiPriority w:val="0"/>
    <w:pPr>
      <w:shd w:val="clear" w:color="auto" w:fill="000080"/>
    </w:pPr>
  </w:style>
  <w:style w:type="paragraph" w:styleId="16">
    <w:name w:val="annotation text"/>
    <w:basedOn w:val="1"/>
    <w:link w:val="128"/>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5"/>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1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5"/>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0"/>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2"/>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4"/>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5"/>
    <w:qFormat/>
    <w:uiPriority w:val="0"/>
    <w:rPr>
      <w:rFonts w:ascii="Courier New" w:hAnsi="Courier New" w:eastAsia="宋体"/>
      <w:kern w:val="2"/>
      <w:sz w:val="21"/>
      <w:lang w:val="en-US" w:eastAsia="zh-CN" w:bidi="ar-SA"/>
    </w:rPr>
  </w:style>
  <w:style w:type="character" w:customStyle="1" w:styleId="119">
    <w:name w:val="正文缩进 Char"/>
    <w:link w:val="12"/>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1"/>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6"/>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8"/>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5"/>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 w:type="character" w:customStyle="1" w:styleId="153">
    <w:name w:val="font01"/>
    <w:basedOn w:val="48"/>
    <w:uiPriority w:val="0"/>
    <w:rPr>
      <w:rFonts w:hint="default" w:ascii="Calibri" w:hAnsi="Calibri" w:cs="Calibri"/>
      <w:color w:val="000000"/>
      <w:sz w:val="24"/>
      <w:szCs w:val="24"/>
      <w:u w:val="none"/>
      <w:vertAlign w:val="superscript"/>
    </w:rPr>
  </w:style>
  <w:style w:type="character" w:customStyle="1" w:styleId="154">
    <w:name w:val="font21"/>
    <w:basedOn w:val="48"/>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16</TotalTime>
  <ScaleCrop>false</ScaleCrop>
  <LinksUpToDate>false</LinksUpToDate>
  <CharactersWithSpaces>4955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2022-09-09T07:41:00Z</cp:lastPrinted>
  <dcterms:modified xsi:type="dcterms:W3CDTF">2023-11-17T08:26:20Z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