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val="en-US" w:eastAsia="zh-CN"/>
        </w:rPr>
        <w:t>铜山</w:t>
      </w:r>
      <w:r>
        <w:rPr>
          <w:rFonts w:hint="eastAsia" w:ascii="仿宋" w:hAnsi="仿宋" w:eastAsia="仿宋" w:cs="宋体"/>
          <w:b/>
          <w:bCs/>
          <w:kern w:val="1"/>
          <w:sz w:val="44"/>
          <w:szCs w:val="44"/>
          <w:u w:val="single"/>
        </w:rPr>
        <w:t>项目</w:t>
      </w:r>
      <w:r>
        <w:rPr>
          <w:rFonts w:hint="eastAsia" w:ascii="仿宋" w:hAnsi="仿宋" w:eastAsia="仿宋" w:cs="宋体"/>
          <w:b/>
          <w:bCs/>
          <w:kern w:val="1"/>
          <w:sz w:val="44"/>
          <w:szCs w:val="44"/>
          <w:u w:val="single"/>
          <w:lang w:eastAsia="zh-CN"/>
        </w:rPr>
        <w:t>混凝土</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w:t>
      </w:r>
      <w:r>
        <w:rPr>
          <w:rFonts w:hint="eastAsia" w:ascii="仿宋" w:hAnsi="仿宋" w:eastAsia="仿宋" w:cs="仿宋_GB2312"/>
          <w:b/>
          <w:bCs/>
          <w:sz w:val="32"/>
          <w:szCs w:val="32"/>
          <w:u w:val="single"/>
          <w:lang w:val="en-US" w:eastAsia="zh-CN"/>
        </w:rPr>
        <w:t>63</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1</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w:t>
      </w:r>
      <w:r>
        <w:rPr>
          <w:rFonts w:hint="eastAsia" w:ascii="仿宋" w:hAnsi="仿宋" w:eastAsia="仿宋" w:cs="仿宋_GB2312"/>
          <w:sz w:val="24"/>
          <w:lang w:eastAsia="zh-CN"/>
        </w:rPr>
        <w:t>或小规模</w:t>
      </w:r>
      <w:r>
        <w:rPr>
          <w:rFonts w:hint="eastAsia" w:ascii="仿宋" w:hAnsi="仿宋" w:eastAsia="仿宋" w:cs="仿宋_GB2312"/>
          <w:sz w:val="24"/>
        </w:rPr>
        <w:t>纳税人。</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8</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highlight w:val="none"/>
          <w:u w:val="single"/>
          <w:lang w:eastAsia="zh-CN"/>
        </w:rPr>
        <w:t>贰万</w:t>
      </w:r>
      <w:r>
        <w:rPr>
          <w:rFonts w:hint="eastAsia" w:ascii="仿宋" w:hAnsi="仿宋" w:eastAsia="仿宋" w:cs="仿宋_GB2312"/>
          <w:b/>
          <w:bCs/>
          <w:color w:val="000000"/>
          <w:sz w:val="24"/>
          <w:highlight w:val="none"/>
          <w:u w:val="single"/>
        </w:rPr>
        <w:t>元</w:t>
      </w:r>
      <w:r>
        <w:rPr>
          <w:rFonts w:hint="eastAsia" w:ascii="仿宋" w:hAnsi="仿宋" w:eastAsia="仿宋" w:cs="仿宋_GB2312"/>
          <w:b/>
          <w:bCs/>
          <w:color w:val="000000"/>
          <w:sz w:val="24"/>
          <w:u w:val="single"/>
        </w:rPr>
        <w:t>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w:t>
      </w:r>
      <w:r>
        <w:rPr>
          <w:rFonts w:hint="eastAsia" w:ascii="仿宋" w:hAnsi="仿宋" w:eastAsia="仿宋" w:cs="仿宋_GB2312"/>
          <w:b/>
          <w:bCs/>
          <w:sz w:val="24"/>
          <w:u w:val="single"/>
          <w:lang w:eastAsia="zh-CN"/>
        </w:rPr>
        <w:t>铜山</w:t>
      </w:r>
      <w:r>
        <w:rPr>
          <w:rFonts w:hint="eastAsia" w:ascii="仿宋" w:hAnsi="仿宋" w:eastAsia="仿宋" w:cs="仿宋_GB2312"/>
          <w:b/>
          <w:bCs/>
          <w:sz w:val="24"/>
          <w:u w:val="single"/>
        </w:rPr>
        <w:t>项目</w:t>
      </w:r>
      <w:r>
        <w:rPr>
          <w:rFonts w:hint="eastAsia" w:ascii="仿宋" w:hAnsi="仿宋" w:eastAsia="仿宋" w:cs="仿宋_GB2312"/>
          <w:b/>
          <w:bCs/>
          <w:sz w:val="24"/>
          <w:u w:val="single"/>
          <w:lang w:eastAsia="zh-CN"/>
        </w:rPr>
        <w:t>混凝土</w:t>
      </w:r>
      <w:r>
        <w:rPr>
          <w:rFonts w:hint="eastAsia" w:ascii="仿宋" w:hAnsi="仿宋" w:eastAsia="仿宋" w:cs="仿宋_GB2312"/>
          <w:b/>
          <w:bCs/>
          <w:sz w:val="24"/>
          <w:u w:val="single"/>
        </w:rPr>
        <w:t>TGJA-WZ-20231</w:t>
      </w:r>
      <w:r>
        <w:rPr>
          <w:rFonts w:hint="eastAsia" w:ascii="仿宋" w:hAnsi="仿宋" w:eastAsia="仿宋" w:cs="仿宋_GB2312"/>
          <w:b/>
          <w:bCs/>
          <w:sz w:val="24"/>
          <w:u w:val="single"/>
          <w:lang w:val="en-US" w:eastAsia="zh-CN"/>
        </w:rPr>
        <w:t>63</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2、投标文件递交地点：铜陵有色金属集团铜冠建筑安装股份有限公司经营部（黄山大道南段879号主楼四楼）</w:t>
      </w:r>
      <w:bookmarkStart w:id="0" w:name="_GoBack"/>
      <w:bookmarkEnd w:id="0"/>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720" w:firstLineChars="300"/>
        <w:rPr>
          <w:rFonts w:ascii="仿宋" w:hAnsi="仿宋" w:eastAsia="仿宋" w:cs="仿宋_GB2312"/>
          <w:sz w:val="24"/>
        </w:rPr>
      </w:pPr>
      <w:r>
        <w:rPr>
          <w:rFonts w:hint="eastAsia" w:ascii="仿宋" w:hAnsi="仿宋" w:eastAsia="仿宋" w:cs="仿宋"/>
          <w:sz w:val="24"/>
          <w:szCs w:val="24"/>
          <w:u w:val="none"/>
        </w:rPr>
        <w:t>符合《预拌混凝土》GB/T14902-2012标准相关规定要求。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lang w:eastAsia="zh-CN"/>
        </w:rPr>
        <w:t>第二事业部铜山项目</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b w:val="0"/>
          <w:bCs w:val="0"/>
          <w:sz w:val="24"/>
          <w:szCs w:val="24"/>
          <w:u w:val="none"/>
        </w:rPr>
        <w:t>本次报价按池州市贵池区</w:t>
      </w:r>
      <w:r>
        <w:rPr>
          <w:rFonts w:hint="eastAsia" w:ascii="仿宋" w:hAnsi="仿宋" w:eastAsia="仿宋" w:cs="仿宋_GB2312"/>
          <w:b w:val="0"/>
          <w:bCs w:val="0"/>
          <w:sz w:val="24"/>
          <w:szCs w:val="24"/>
          <w:u w:val="none"/>
          <w:lang w:eastAsia="zh-CN"/>
        </w:rPr>
        <w:t>当月含税</w:t>
      </w:r>
      <w:r>
        <w:rPr>
          <w:rFonts w:hint="eastAsia" w:ascii="仿宋" w:hAnsi="仿宋" w:eastAsia="仿宋" w:cs="仿宋_GB2312"/>
          <w:b w:val="0"/>
          <w:bCs w:val="0"/>
          <w:sz w:val="24"/>
          <w:szCs w:val="24"/>
          <w:u w:val="none"/>
        </w:rPr>
        <w:t>信息价下浮百分数</w:t>
      </w:r>
      <w:r>
        <w:rPr>
          <w:rFonts w:hint="eastAsia" w:ascii="仿宋" w:hAnsi="仿宋" w:eastAsia="仿宋" w:cs="仿宋_GB2312"/>
          <w:sz w:val="24"/>
          <w:szCs w:val="24"/>
          <w:u w:val="none"/>
        </w:rPr>
        <w:t>报价</w:t>
      </w:r>
      <w:r>
        <w:rPr>
          <w:rFonts w:hint="eastAsia" w:ascii="仿宋" w:hAnsi="仿宋" w:eastAsia="仿宋" w:cs="仿宋_GB2312"/>
          <w:sz w:val="24"/>
          <w:szCs w:val="24"/>
          <w:u w:val="none"/>
          <w:lang w:eastAsia="zh-CN"/>
        </w:rPr>
        <w:t>，</w:t>
      </w:r>
      <w:r>
        <w:rPr>
          <w:rFonts w:hint="eastAsia" w:ascii="仿宋" w:hAnsi="仿宋" w:eastAsia="仿宋" w:cs="仿宋_GB2312"/>
          <w:sz w:val="24"/>
          <w:szCs w:val="24"/>
          <w:u w:val="none"/>
        </w:rPr>
        <w:t>为含税</w:t>
      </w:r>
      <w:r>
        <w:rPr>
          <w:rFonts w:hint="eastAsia" w:ascii="仿宋" w:hAnsi="仿宋" w:eastAsia="仿宋" w:cs="仿宋_GB2312"/>
          <w:color w:val="000000"/>
          <w:sz w:val="24"/>
          <w:szCs w:val="24"/>
          <w:u w:val="none"/>
        </w:rPr>
        <w:t>含运费</w:t>
      </w:r>
      <w:r>
        <w:rPr>
          <w:rFonts w:hint="eastAsia" w:ascii="仿宋" w:hAnsi="仿宋" w:eastAsia="仿宋" w:cs="仿宋_GB2312"/>
          <w:color w:val="000000"/>
          <w:sz w:val="24"/>
          <w:szCs w:val="24"/>
          <w:highlight w:val="none"/>
          <w:u w:val="none"/>
        </w:rPr>
        <w:t>含</w:t>
      </w:r>
      <w:r>
        <w:rPr>
          <w:rFonts w:hint="eastAsia" w:ascii="仿宋" w:hAnsi="仿宋" w:eastAsia="仿宋" w:cs="仿宋_GB2312"/>
          <w:color w:val="000000"/>
          <w:sz w:val="24"/>
          <w:szCs w:val="24"/>
          <w:highlight w:val="none"/>
          <w:u w:val="none"/>
          <w:lang w:eastAsia="zh-CN"/>
        </w:rPr>
        <w:t>装卸</w:t>
      </w:r>
      <w:r>
        <w:rPr>
          <w:rFonts w:hint="eastAsia" w:ascii="仿宋" w:hAnsi="仿宋" w:eastAsia="仿宋" w:cs="仿宋_GB2312"/>
          <w:color w:val="000000"/>
          <w:sz w:val="24"/>
          <w:szCs w:val="24"/>
          <w:u w:val="none"/>
        </w:rPr>
        <w:t>费一票制</w:t>
      </w:r>
      <w:r>
        <w:rPr>
          <w:rFonts w:hint="eastAsia" w:ascii="仿宋" w:hAnsi="仿宋" w:eastAsia="仿宋" w:cs="仿宋_GB2312"/>
          <w:color w:val="000000"/>
          <w:sz w:val="24"/>
          <w:u w:val="non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szCs w:val="24"/>
        </w:rPr>
        <w:t>供货数量验收确认方式</w:t>
      </w:r>
    </w:p>
    <w:p>
      <w:pPr>
        <w:spacing w:line="360" w:lineRule="auto"/>
        <w:ind w:firstLine="480" w:firstLineChars="200"/>
        <w:rPr>
          <w:rFonts w:ascii="仿宋" w:hAnsi="仿宋" w:eastAsia="仿宋" w:cs="仿宋_GB2312"/>
          <w:sz w:val="24"/>
        </w:rPr>
      </w:pPr>
      <w:r>
        <w:rPr>
          <w:rFonts w:hint="eastAsia" w:ascii="仿宋" w:hAnsi="仿宋" w:eastAsia="仿宋" w:cs="仿宋"/>
          <w:sz w:val="24"/>
          <w:szCs w:val="24"/>
          <w:u w:val="single"/>
        </w:rPr>
        <w:t>招标人每批次需用混凝土时,必须提前一天用书面订单、传真或电话通知中标人，日所需混凝土总量超过</w:t>
      </w:r>
      <w:r>
        <w:rPr>
          <w:rFonts w:hint="eastAsia" w:ascii="仿宋" w:hAnsi="仿宋" w:eastAsia="仿宋" w:cs="仿宋"/>
          <w:sz w:val="24"/>
          <w:szCs w:val="24"/>
          <w:u w:val="single"/>
          <w:lang w:val="en-US" w:eastAsia="zh-CN"/>
        </w:rPr>
        <w:t>500</w:t>
      </w:r>
      <w:r>
        <w:rPr>
          <w:rFonts w:hint="eastAsia" w:ascii="仿宋" w:hAnsi="仿宋" w:eastAsia="仿宋" w:cs="仿宋"/>
          <w:kern w:val="0"/>
          <w:sz w:val="24"/>
          <w:szCs w:val="24"/>
          <w:u w:val="single"/>
        </w:rPr>
        <w:t>m³</w:t>
      </w:r>
      <w:r>
        <w:rPr>
          <w:rFonts w:hint="eastAsia" w:ascii="仿宋" w:hAnsi="仿宋" w:eastAsia="仿宋" w:cs="仿宋"/>
          <w:sz w:val="24"/>
          <w:szCs w:val="24"/>
          <w:u w:val="single"/>
        </w:rPr>
        <w:t>时,须提前二天通知中标人</w:t>
      </w:r>
      <w:r>
        <w:rPr>
          <w:rFonts w:hint="eastAsia" w:ascii="仿宋" w:hAnsi="仿宋" w:eastAsia="仿宋" w:cs="仿宋"/>
          <w:sz w:val="24"/>
          <w:szCs w:val="24"/>
          <w:u w:val="single"/>
          <w:lang w:eastAsia="zh-CN"/>
        </w:rPr>
        <w:t>，</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应根据</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的通知要求，及时安排生产和发货，并应保证混凝土运输的连续性。如遇特殊原因，预计无法按照</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要求供货时，必须在</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供货通知发出后2小时内通知</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，在征得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同意后可暂停供货。如未征得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同意，即视为延期交货。每延期交货</w:t>
      </w:r>
      <w:r>
        <w:rPr>
          <w:rFonts w:hint="eastAsia" w:ascii="仿宋" w:hAnsi="仿宋" w:eastAsia="仿宋" w:cs="仿宋"/>
          <w:color w:val="000000" w:themeColor="text1"/>
          <w:sz w:val="24"/>
          <w:szCs w:val="24"/>
          <w:u w:val="single"/>
          <w:lang w:eastAsia="zh-CN"/>
          <w14:textFill>
            <w14:solidFill>
              <w14:schemeClr w14:val="tx1"/>
            </w14:solidFill>
          </w14:textFill>
        </w:rPr>
        <w:t>半</w:t>
      </w:r>
      <w:r>
        <w:rPr>
          <w:rFonts w:hint="eastAsia" w:ascii="仿宋" w:hAnsi="仿宋" w:eastAsia="仿宋" w:cs="仿宋"/>
          <w:color w:val="000000" w:themeColor="text1"/>
          <w:sz w:val="24"/>
          <w:szCs w:val="24"/>
          <w:u w:val="single"/>
          <w14:textFill>
            <w14:solidFill>
              <w14:schemeClr w14:val="tx1"/>
            </w14:solidFill>
          </w14:textFill>
        </w:rPr>
        <w:t>天，按照延误情况的轻重，对</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处以2000-5000元的罚款，累计计算。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发现</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供货数量不足或提供不合格产品，均视同延期交货。对发生两次延期交货的，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有权自行安排其他供应商供货，</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不得以任何理由阻拦或变相阻拦。因以上原因给</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的罚款等（包括但不限于以上情况）的所有损失均由</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承担。延期超过7天的，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有权单方面解除合同。</w:t>
      </w:r>
      <w:r>
        <w:rPr>
          <w:rFonts w:hint="eastAsia" w:ascii="仿宋" w:hAnsi="仿宋" w:eastAsia="仿宋" w:cs="仿宋"/>
          <w:sz w:val="24"/>
          <w:szCs w:val="24"/>
          <w:u w:val="single"/>
        </w:rPr>
        <w:t>每批次实际需用量多于或少于预订数量的，</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应在本批次混凝土浇筑结束前2小时通知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在收到</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通知后，应及时调整发货数量，以免造成双方损失。如</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实际用量多于预订数量，又未及时通知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不承担因此无法保证预拌混凝土运输连续性所导致的一切后果</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每次供货超50</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 xml:space="preserve">限补方一次，如需第二次补方应支付运输车辆空置燃油费，按1元/ </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.km计算；不足50</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供货量的每月累计不得超过2次，超出的次数按500元/次收取出泵费。招标人按送货方单进行验收，并有权随时抽查,如抽查结果在负差3％以内的，属允许负差;如抽查结果在负差3%以上的，则当日所供所有混凝土按抽查最大负差百分比扣除结算</w:t>
      </w:r>
      <w:r>
        <w:rPr>
          <w:rFonts w:hint="eastAsia" w:ascii="仿宋" w:hAnsi="仿宋" w:eastAsia="仿宋" w:cs="仿宋"/>
          <w:color w:val="000000" w:themeColor="text1"/>
          <w:sz w:val="24"/>
          <w:szCs w:val="24"/>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 w:hAnsi="仿宋" w:eastAsia="仿宋" w:cs="仿宋"/>
          <w:sz w:val="24"/>
          <w:szCs w:val="24"/>
          <w:u w:val="single"/>
        </w:rPr>
        <w:t>招标人保留对已浇铸完工混凝土构件方量进行复核的权利，如偏差大于5%，双方需进行复核。如确定为</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责任，则扣除超出部分的方量。</w:t>
      </w:r>
      <w:r>
        <w:rPr>
          <w:rFonts w:hint="eastAsia" w:ascii="仿宋" w:hAnsi="仿宋" w:eastAsia="仿宋" w:cs="仿宋"/>
          <w:color w:val="000000" w:themeColor="text1"/>
          <w:sz w:val="24"/>
          <w:szCs w:val="24"/>
          <w:u w:val="single"/>
          <w14:textFill>
            <w14:solidFill>
              <w14:schemeClr w14:val="tx1"/>
            </w14:solidFill>
          </w14:textFill>
        </w:rPr>
        <w:t>对施工浇筑过程中混凝士的跑模、涨模、尾车中所要混凝土数量不准所造成</w:t>
      </w:r>
      <w:r>
        <w:rPr>
          <w:rFonts w:hint="eastAsia" w:ascii="仿宋" w:hAnsi="仿宋" w:eastAsia="仿宋" w:cs="仿宋"/>
          <w:sz w:val="24"/>
          <w:szCs w:val="24"/>
          <w:u w:val="single"/>
        </w:rPr>
        <w:t>的损失应由招标人承担。招标人在《订货单》中需写明工程名称、浇筑时间、浇筑部位、混凝土强度等级、坍落度要求、数量及其</w:t>
      </w:r>
      <w:r>
        <w:rPr>
          <w:rFonts w:hint="eastAsia" w:ascii="仿宋" w:hAnsi="仿宋" w:eastAsia="仿宋" w:cs="仿宋"/>
          <w:color w:val="000000" w:themeColor="text1"/>
          <w:sz w:val="24"/>
          <w:szCs w:val="24"/>
          <w:u w:val="single"/>
          <w14:textFill>
            <w14:solidFill>
              <w14:schemeClr w14:val="tx1"/>
            </w14:solidFill>
          </w14:textFill>
        </w:rPr>
        <w:t>它特殊技术要求,以便中标人及时备料安排生产和安排运输设备</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
          <w:color w:val="000000" w:themeColor="text1"/>
          <w:sz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w:t>
      </w:r>
      <w:r>
        <w:rPr>
          <w:rFonts w:hint="eastAsia" w:ascii="仿宋" w:hAnsi="仿宋" w:eastAsia="仿宋" w:cs="仿宋"/>
          <w:color w:val="171A1D"/>
          <w:sz w:val="24"/>
          <w:u w:val="single"/>
          <w:shd w:val="clear" w:color="auto" w:fill="FFFFFF"/>
          <w:lang w:eastAsia="zh-CN"/>
        </w:rPr>
        <w:t>发票</w:t>
      </w:r>
      <w:r>
        <w:rPr>
          <w:rFonts w:hint="eastAsia" w:ascii="仿宋" w:hAnsi="仿宋" w:eastAsia="仿宋" w:cs="仿宋"/>
          <w:color w:val="171A1D"/>
          <w:sz w:val="24"/>
          <w:u w:val="single"/>
          <w:shd w:val="clear" w:color="auto" w:fill="FFFFFF"/>
        </w:rPr>
        <w:t>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w:t>
      </w:r>
      <w:r>
        <w:rPr>
          <w:rFonts w:hint="eastAsia" w:ascii="仿宋" w:hAnsi="仿宋" w:eastAsia="仿宋"/>
          <w:b/>
          <w:sz w:val="24"/>
          <w:lang w:val="en-US" w:eastAsia="zh-CN"/>
        </w:rPr>
        <w:t>63</w:t>
      </w:r>
      <w:r>
        <w:rPr>
          <w:rFonts w:hint="eastAsia" w:ascii="仿宋" w:hAnsi="仿宋" w:eastAsia="仿宋"/>
          <w:b/>
          <w:sz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860"/>
        <w:gridCol w:w="2304"/>
        <w:gridCol w:w="714"/>
        <w:gridCol w:w="596"/>
        <w:gridCol w:w="1445"/>
        <w:gridCol w:w="2823"/>
        <w:gridCol w:w="1546"/>
        <w:gridCol w:w="1140"/>
        <w:gridCol w:w="377"/>
        <w:gridCol w:w="2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jc w:val="center"/>
              <w:rPr>
                <w:rFonts w:ascii="仿宋" w:hAnsi="仿宋" w:eastAsia="仿宋"/>
                <w:sz w:val="24"/>
              </w:rPr>
            </w:pPr>
            <w:r>
              <w:rPr>
                <w:rFonts w:hint="eastAsia" w:ascii="仿宋" w:hAnsi="仿宋" w:eastAsia="仿宋" w:cs="仿宋"/>
                <w:sz w:val="24"/>
              </w:rPr>
              <w:t>序号</w:t>
            </w:r>
          </w:p>
        </w:tc>
        <w:tc>
          <w:tcPr>
            <w:tcW w:w="1860" w:type="dxa"/>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物料名称</w:t>
            </w:r>
          </w:p>
        </w:tc>
        <w:tc>
          <w:tcPr>
            <w:tcW w:w="2304" w:type="dxa"/>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型号规格</w:t>
            </w:r>
          </w:p>
        </w:tc>
        <w:tc>
          <w:tcPr>
            <w:tcW w:w="1310" w:type="dxa"/>
            <w:gridSpan w:val="2"/>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单位</w:t>
            </w:r>
          </w:p>
        </w:tc>
        <w:tc>
          <w:tcPr>
            <w:tcW w:w="1445" w:type="dxa"/>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数量</w:t>
            </w:r>
          </w:p>
        </w:tc>
        <w:tc>
          <w:tcPr>
            <w:tcW w:w="2823" w:type="dxa"/>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报价（按池州市贵池区</w:t>
            </w:r>
            <w:r>
              <w:rPr>
                <w:rFonts w:hint="eastAsia" w:ascii="仿宋" w:hAnsi="仿宋" w:eastAsia="仿宋" w:cs="仿宋"/>
                <w:b w:val="0"/>
                <w:bCs w:val="0"/>
                <w:sz w:val="24"/>
                <w:szCs w:val="24"/>
                <w:lang w:eastAsia="zh-CN"/>
              </w:rPr>
              <w:t>含税</w:t>
            </w:r>
            <w:r>
              <w:rPr>
                <w:rFonts w:hint="eastAsia" w:ascii="仿宋" w:hAnsi="仿宋" w:eastAsia="仿宋" w:cs="仿宋"/>
                <w:b w:val="0"/>
                <w:bCs w:val="0"/>
                <w:sz w:val="24"/>
                <w:szCs w:val="24"/>
              </w:rPr>
              <w:t>信息价下浮百分数）＊</w:t>
            </w:r>
          </w:p>
        </w:tc>
        <w:tc>
          <w:tcPr>
            <w:tcW w:w="2686" w:type="dxa"/>
            <w:gridSpan w:val="2"/>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税率（注明税率及是否为增值税专业发票）＊</w:t>
            </w:r>
          </w:p>
        </w:tc>
        <w:tc>
          <w:tcPr>
            <w:tcW w:w="2572" w:type="dxa"/>
            <w:gridSpan w:val="2"/>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443" w:type="dxa"/>
            <w:vAlign w:val="center"/>
          </w:tcPr>
          <w:p>
            <w:pPr>
              <w:jc w:val="center"/>
              <w:rPr>
                <w:rFonts w:ascii="仿宋" w:hAnsi="仿宋" w:eastAsia="仿宋"/>
                <w:sz w:val="24"/>
              </w:rPr>
            </w:pPr>
            <w:r>
              <w:rPr>
                <w:rFonts w:hint="eastAsia" w:ascii="仿宋" w:hAnsi="仿宋" w:eastAsia="仿宋" w:cs="仿宋"/>
                <w:sz w:val="24"/>
              </w:rPr>
              <w:t>1</w:t>
            </w:r>
          </w:p>
        </w:tc>
        <w:tc>
          <w:tcPr>
            <w:tcW w:w="1860" w:type="dxa"/>
            <w:vAlign w:val="center"/>
          </w:tcPr>
          <w:p>
            <w:pPr>
              <w:jc w:val="cente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val="en-US" w:eastAsia="zh-CN"/>
              </w:rPr>
              <w:t>商品混凝土</w:t>
            </w:r>
          </w:p>
        </w:tc>
        <w:tc>
          <w:tcPr>
            <w:tcW w:w="2304" w:type="dxa"/>
            <w:vAlign w:val="center"/>
          </w:tcPr>
          <w:p>
            <w:pPr>
              <w:widowControl/>
              <w:tabs>
                <w:tab w:val="left" w:pos="3360"/>
              </w:tabs>
              <w:jc w:val="center"/>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kern w:val="0"/>
                <w:sz w:val="24"/>
                <w:szCs w:val="24"/>
                <w:highlight w:val="none"/>
                <w:lang w:val="en-US" w:eastAsia="zh-CN"/>
              </w:rPr>
              <w:t>C15/C20/C25/C30/C35/C40(泵送)等</w:t>
            </w:r>
          </w:p>
        </w:tc>
        <w:tc>
          <w:tcPr>
            <w:tcW w:w="1310" w:type="dxa"/>
            <w:gridSpan w:val="2"/>
            <w:vAlign w:val="center"/>
          </w:tcPr>
          <w:p>
            <w:pPr>
              <w:widowControl/>
              <w:tabs>
                <w:tab w:val="left" w:pos="3360"/>
              </w:tabs>
              <w:jc w:val="center"/>
              <w:textAlignment w:val="center"/>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lang w:eastAsia="zh-CN"/>
              </w:rPr>
              <w:t>立方米</w:t>
            </w:r>
          </w:p>
        </w:tc>
        <w:tc>
          <w:tcPr>
            <w:tcW w:w="1445" w:type="dxa"/>
            <w:vAlign w:val="center"/>
          </w:tcPr>
          <w:p>
            <w:pPr>
              <w:widowControl/>
              <w:tabs>
                <w:tab w:val="center" w:pos="369"/>
                <w:tab w:val="left" w:pos="560"/>
                <w:tab w:val="left" w:pos="3360"/>
              </w:tabs>
              <w:ind w:left="240" w:hanging="240" w:hangingChars="100"/>
              <w:jc w:val="center"/>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3000</w:t>
            </w:r>
          </w:p>
        </w:tc>
        <w:tc>
          <w:tcPr>
            <w:tcW w:w="2823" w:type="dxa"/>
            <w:vAlign w:val="center"/>
          </w:tcPr>
          <w:p>
            <w:pPr>
              <w:jc w:val="center"/>
              <w:rPr>
                <w:rFonts w:hint="eastAsia" w:ascii="仿宋" w:hAnsi="仿宋" w:eastAsia="仿宋" w:cs="仿宋"/>
                <w:b w:val="0"/>
                <w:bCs w:val="0"/>
                <w:sz w:val="24"/>
                <w:szCs w:val="24"/>
              </w:rPr>
            </w:pPr>
          </w:p>
        </w:tc>
        <w:tc>
          <w:tcPr>
            <w:tcW w:w="2686" w:type="dxa"/>
            <w:gridSpan w:val="2"/>
            <w:vAlign w:val="center"/>
          </w:tcPr>
          <w:p>
            <w:pPr>
              <w:jc w:val="center"/>
              <w:rPr>
                <w:rFonts w:hint="eastAsia" w:ascii="仿宋" w:hAnsi="仿宋" w:eastAsia="仿宋" w:cs="仿宋"/>
                <w:b w:val="0"/>
                <w:bCs w:val="0"/>
                <w:sz w:val="24"/>
                <w:szCs w:val="24"/>
              </w:rPr>
            </w:pPr>
          </w:p>
        </w:tc>
        <w:tc>
          <w:tcPr>
            <w:tcW w:w="2572" w:type="dxa"/>
            <w:gridSpan w:val="2"/>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GB/T14902-2012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443" w:type="dxa"/>
            <w:vAlign w:val="center"/>
          </w:tcPr>
          <w:p>
            <w:pPr>
              <w:jc w:val="center"/>
              <w:rPr>
                <w:rFonts w:ascii="仿宋" w:hAnsi="仿宋" w:eastAsia="仿宋"/>
                <w:sz w:val="24"/>
              </w:rPr>
            </w:pPr>
          </w:p>
        </w:tc>
        <w:tc>
          <w:tcPr>
            <w:tcW w:w="1860" w:type="dxa"/>
            <w:vAlign w:val="center"/>
          </w:tcPr>
          <w:p>
            <w:pPr>
              <w:jc w:val="center"/>
              <w:rPr>
                <w:sz w:val="24"/>
              </w:rPr>
            </w:pPr>
            <w:r>
              <w:rPr>
                <w:rFonts w:hint="eastAsia" w:ascii="仿宋" w:hAnsi="仿宋" w:eastAsia="仿宋" w:cs="仿宋"/>
                <w:sz w:val="24"/>
              </w:rPr>
              <w:t>合计＊</w:t>
            </w:r>
          </w:p>
        </w:tc>
        <w:tc>
          <w:tcPr>
            <w:tcW w:w="2304" w:type="dxa"/>
            <w:vAlign w:val="center"/>
          </w:tcPr>
          <w:p>
            <w:pPr>
              <w:jc w:val="center"/>
              <w:rPr>
                <w:sz w:val="24"/>
              </w:rPr>
            </w:pPr>
          </w:p>
        </w:tc>
        <w:tc>
          <w:tcPr>
            <w:tcW w:w="1310" w:type="dxa"/>
            <w:gridSpan w:val="2"/>
            <w:vAlign w:val="center"/>
          </w:tcPr>
          <w:p>
            <w:pPr>
              <w:jc w:val="center"/>
              <w:rPr>
                <w:sz w:val="24"/>
              </w:rPr>
            </w:pPr>
          </w:p>
        </w:tc>
        <w:tc>
          <w:tcPr>
            <w:tcW w:w="1445" w:type="dxa"/>
            <w:vAlign w:val="center"/>
          </w:tcPr>
          <w:p>
            <w:pPr>
              <w:jc w:val="center"/>
              <w:rPr>
                <w:sz w:val="24"/>
              </w:rPr>
            </w:pPr>
          </w:p>
        </w:tc>
        <w:tc>
          <w:tcPr>
            <w:tcW w:w="2823" w:type="dxa"/>
            <w:vAlign w:val="center"/>
          </w:tcPr>
          <w:p>
            <w:pPr>
              <w:jc w:val="center"/>
              <w:rPr>
                <w:sz w:val="24"/>
              </w:rPr>
            </w:pPr>
          </w:p>
        </w:tc>
        <w:tc>
          <w:tcPr>
            <w:tcW w:w="2686" w:type="dxa"/>
            <w:gridSpan w:val="2"/>
            <w:vAlign w:val="center"/>
          </w:tcPr>
          <w:p>
            <w:pPr>
              <w:jc w:val="center"/>
              <w:rPr>
                <w:sz w:val="24"/>
              </w:rPr>
            </w:pPr>
          </w:p>
        </w:tc>
        <w:tc>
          <w:tcPr>
            <w:tcW w:w="2572" w:type="dxa"/>
            <w:gridSpan w:val="2"/>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1"/>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4"/>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4"/>
            <w:vMerge w:val="continue"/>
            <w:vAlign w:val="center"/>
          </w:tcPr>
          <w:p>
            <w:pPr>
              <w:rPr>
                <w:rFonts w:ascii="仿宋" w:hAnsi="仿宋" w:eastAsia="仿宋"/>
                <w:sz w:val="24"/>
              </w:rPr>
            </w:pP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gridSpan w:val="2"/>
            <w:vAlign w:val="center"/>
          </w:tcPr>
          <w:p>
            <w:pPr>
              <w:jc w:val="center"/>
              <w:rPr>
                <w:rFonts w:ascii="仿宋" w:hAnsi="仿宋" w:eastAsia="仿宋"/>
                <w:sz w:val="24"/>
              </w:rPr>
            </w:pPr>
            <w:r>
              <w:rPr>
                <w:rFonts w:hint="eastAsia" w:ascii="仿宋" w:hAnsi="仿宋" w:eastAsia="仿宋" w:cs="仿宋"/>
                <w:sz w:val="24"/>
              </w:rPr>
              <w:t>电话</w:t>
            </w:r>
          </w:p>
        </w:tc>
        <w:tc>
          <w:tcPr>
            <w:tcW w:w="2195" w:type="dxa"/>
            <w:vAlign w:val="center"/>
          </w:tcPr>
          <w:p>
            <w:pPr>
              <w:rPr>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0FC2566F"/>
    <w:rsid w:val="10181623"/>
    <w:rsid w:val="107E735A"/>
    <w:rsid w:val="12A820AD"/>
    <w:rsid w:val="15737884"/>
    <w:rsid w:val="165C0F7F"/>
    <w:rsid w:val="16C25280"/>
    <w:rsid w:val="17D86D23"/>
    <w:rsid w:val="17F4775E"/>
    <w:rsid w:val="18AF15FD"/>
    <w:rsid w:val="19E94006"/>
    <w:rsid w:val="19F83AF8"/>
    <w:rsid w:val="1BBF797C"/>
    <w:rsid w:val="1D83723A"/>
    <w:rsid w:val="1DE26149"/>
    <w:rsid w:val="1DEE2CCA"/>
    <w:rsid w:val="1E052624"/>
    <w:rsid w:val="1E247EC6"/>
    <w:rsid w:val="1EB92EF2"/>
    <w:rsid w:val="1FAB30E7"/>
    <w:rsid w:val="2037683E"/>
    <w:rsid w:val="20637B7A"/>
    <w:rsid w:val="21A61884"/>
    <w:rsid w:val="21D27498"/>
    <w:rsid w:val="221D09FC"/>
    <w:rsid w:val="22F91AE6"/>
    <w:rsid w:val="25590EC9"/>
    <w:rsid w:val="257F4BF0"/>
    <w:rsid w:val="25A13254"/>
    <w:rsid w:val="262F357C"/>
    <w:rsid w:val="26A26CEB"/>
    <w:rsid w:val="27235E7D"/>
    <w:rsid w:val="276F4E38"/>
    <w:rsid w:val="2834446C"/>
    <w:rsid w:val="28897351"/>
    <w:rsid w:val="299D4A4C"/>
    <w:rsid w:val="2A1902C2"/>
    <w:rsid w:val="2BE13F0B"/>
    <w:rsid w:val="2C6224E4"/>
    <w:rsid w:val="2C995D0F"/>
    <w:rsid w:val="2D3E7816"/>
    <w:rsid w:val="2DBC53C0"/>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5925F92"/>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57E27C2"/>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9021DF3"/>
    <w:rsid w:val="69AD4D95"/>
    <w:rsid w:val="6A1720C7"/>
    <w:rsid w:val="6A315ABB"/>
    <w:rsid w:val="6A43654D"/>
    <w:rsid w:val="6A87598F"/>
    <w:rsid w:val="6E1970B9"/>
    <w:rsid w:val="6F0109C8"/>
    <w:rsid w:val="6F763902"/>
    <w:rsid w:val="6FE30FB3"/>
    <w:rsid w:val="702B459E"/>
    <w:rsid w:val="703849D5"/>
    <w:rsid w:val="711712EF"/>
    <w:rsid w:val="7180640A"/>
    <w:rsid w:val="71F35AC2"/>
    <w:rsid w:val="72B81640"/>
    <w:rsid w:val="72DA2E30"/>
    <w:rsid w:val="74B57A97"/>
    <w:rsid w:val="7574564B"/>
    <w:rsid w:val="77B14F43"/>
    <w:rsid w:val="781F3804"/>
    <w:rsid w:val="792A1CCE"/>
    <w:rsid w:val="793439F5"/>
    <w:rsid w:val="796E3D99"/>
    <w:rsid w:val="7AE12DFD"/>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2</TotalTime>
  <ScaleCrop>false</ScaleCrop>
  <LinksUpToDate>false</LinksUpToDate>
  <CharactersWithSpaces>4955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2023-11-01T08:30:36Z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