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全鑫矿业</w:t>
      </w:r>
      <w:r>
        <w:rPr>
          <w:rFonts w:hint="eastAsia" w:ascii="仿宋" w:hAnsi="仿宋" w:eastAsia="仿宋" w:cs="宋体"/>
          <w:b/>
          <w:bCs/>
          <w:kern w:val="1"/>
          <w:sz w:val="44"/>
          <w:szCs w:val="44"/>
          <w:u w:val="single"/>
        </w:rPr>
        <w:t>项目</w:t>
      </w:r>
      <w:r>
        <w:rPr>
          <w:rFonts w:hint="eastAsia" w:ascii="仿宋" w:hAnsi="仿宋" w:eastAsia="仿宋" w:cs="宋体"/>
          <w:b/>
          <w:bCs/>
          <w:kern w:val="1"/>
          <w:sz w:val="44"/>
          <w:szCs w:val="44"/>
          <w:u w:val="single"/>
          <w:lang w:eastAsia="zh-CN"/>
        </w:rPr>
        <w:t>螺栓</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w:t>
      </w:r>
      <w:r>
        <w:rPr>
          <w:rFonts w:hint="eastAsia" w:ascii="仿宋" w:hAnsi="仿宋" w:eastAsia="仿宋" w:cs="仿宋_GB2312"/>
          <w:b/>
          <w:bCs/>
          <w:sz w:val="32"/>
          <w:szCs w:val="32"/>
          <w:u w:val="single"/>
          <w:lang w:val="en-US" w:eastAsia="zh-CN"/>
        </w:rPr>
        <w:t>61</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
          <w:sz w:val="24"/>
          <w:u w:val="single"/>
        </w:rPr>
      </w:pPr>
      <w:r>
        <w:rPr>
          <w:rFonts w:hint="eastAsia" w:ascii="仿宋" w:hAnsi="仿宋" w:eastAsia="仿宋" w:cs="仿宋_GB2312"/>
          <w:sz w:val="24"/>
        </w:rPr>
        <w:t>1、</w:t>
      </w:r>
      <w:r>
        <w:rPr>
          <w:rFonts w:hint="eastAsia" w:ascii="仿宋" w:hAnsi="仿宋" w:eastAsia="仿宋" w:cs="仿宋"/>
          <w:sz w:val="24"/>
        </w:rPr>
        <w:t>招标公告发布日期：</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1</w:t>
      </w:r>
      <w:r>
        <w:rPr>
          <w:rFonts w:hint="eastAsia" w:ascii="仿宋" w:hAnsi="仿宋" w:eastAsia="仿宋" w:cs="仿宋"/>
          <w:sz w:val="24"/>
          <w:u w:val="single"/>
        </w:rPr>
        <w:t>日</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2、投标截止时间：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3、投标文件递交地点：铜陵有色金属集团铜冠建筑安装股份有限公司经营部（黄山大道南段879号主楼四楼）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4、投标文件收件人：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5、开标时间：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6、发中标通知书时间：另行通知</w:t>
      </w:r>
    </w:p>
    <w:p>
      <w:pPr>
        <w:spacing w:line="360" w:lineRule="auto"/>
        <w:ind w:firstLine="480" w:firstLineChars="200"/>
        <w:rPr>
          <w:rFonts w:ascii="仿宋" w:hAnsi="仿宋" w:eastAsia="仿宋" w:cs="仿宋"/>
          <w:sz w:val="24"/>
        </w:rPr>
      </w:pPr>
      <w:r>
        <w:rPr>
          <w:rFonts w:hint="eastAsia" w:ascii="仿宋" w:hAnsi="仿宋" w:eastAsia="仿宋" w:cs="仿宋"/>
          <w:sz w:val="24"/>
        </w:rPr>
        <w:t>7、签订合同时间：另行通知</w:t>
      </w: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rPr>
          <w:rFonts w:ascii="仿宋" w:hAnsi="仿宋" w:eastAsia="仿宋" w:cs="仿宋_GB2312"/>
          <w:sz w:val="24"/>
        </w:rPr>
      </w:pPr>
      <w:r>
        <w:rPr>
          <w:rFonts w:hint="eastAsia" w:ascii="仿宋" w:hAnsi="仿宋" w:eastAsia="仿宋" w:cs="仿宋_GB2312"/>
          <w:b/>
          <w:bCs/>
          <w:sz w:val="24"/>
        </w:rPr>
        <w:t>说明：</w:t>
      </w:r>
      <w:r>
        <w:rPr>
          <w:rFonts w:hint="eastAsia" w:ascii="仿宋" w:hAnsi="仿宋" w:eastAsia="仿宋" w:cs="仿宋_GB2312"/>
          <w:bCs/>
          <w:sz w:val="24"/>
        </w:rPr>
        <w:t>本次招标数量是</w:t>
      </w:r>
      <w:r>
        <w:rPr>
          <w:rFonts w:hint="eastAsia" w:ascii="仿宋" w:hAnsi="仿宋" w:eastAsia="仿宋" w:cs="仿宋_GB2312"/>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2、投标人须为一般纳税人,开具13%增值税专用发票。</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3、报名自招标公告发布之日起至</w:t>
      </w:r>
      <w:r>
        <w:rPr>
          <w:rFonts w:hint="eastAsia" w:ascii="仿宋" w:hAnsi="仿宋" w:eastAsia="仿宋" w:cs="仿宋_GB2312"/>
          <w:sz w:val="24"/>
          <w:u w:val="single"/>
        </w:rPr>
        <w:t>2023年</w:t>
      </w:r>
      <w:r>
        <w:rPr>
          <w:rFonts w:hint="eastAsia" w:ascii="仿宋" w:hAnsi="仿宋" w:eastAsia="仿宋" w:cs="仿宋"/>
          <w:sz w:val="24"/>
          <w:u w:val="single"/>
        </w:rPr>
        <w:t>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8</w:t>
      </w:r>
      <w:r>
        <w:rPr>
          <w:rFonts w:hint="eastAsia" w:ascii="仿宋" w:hAnsi="仿宋" w:eastAsia="仿宋" w:cs="仿宋"/>
          <w:sz w:val="24"/>
          <w:u w:val="single"/>
        </w:rPr>
        <w:t>日</w:t>
      </w:r>
      <w:r>
        <w:rPr>
          <w:rFonts w:hint="eastAsia" w:ascii="仿宋" w:hAnsi="仿宋" w:eastAsia="仿宋" w:cs="仿宋_GB2312"/>
          <w:sz w:val="24"/>
          <w:u w:val="single"/>
        </w:rPr>
        <w:t>12:00止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5、联 系 人：</w:t>
      </w:r>
      <w:r>
        <w:rPr>
          <w:rFonts w:hint="eastAsia" w:ascii="仿宋" w:hAnsi="仿宋" w:eastAsia="仿宋" w:cs="仿宋_GB2312"/>
          <w:bCs/>
          <w:sz w:val="24"/>
          <w:u w:val="single"/>
        </w:rPr>
        <w:t>叶明陵（13865621916）、任凡（15656263008）</w:t>
      </w: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b/>
          <w:bCs/>
          <w:color w:val="C00000"/>
          <w:sz w:val="24"/>
        </w:rPr>
      </w:pPr>
      <w:r>
        <w:rPr>
          <w:rFonts w:hint="eastAsia" w:ascii="仿宋" w:hAnsi="仿宋" w:eastAsia="仿宋" w:cs="仿宋_GB2312"/>
          <w:sz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rPr>
        <w:t>证金</w:t>
      </w:r>
      <w:r>
        <w:rPr>
          <w:rFonts w:hint="eastAsia" w:ascii="仿宋" w:hAnsi="仿宋" w:eastAsia="仿宋" w:cs="仿宋_GB2312"/>
          <w:b/>
          <w:bCs/>
          <w:color w:val="000000"/>
          <w:sz w:val="24"/>
          <w:highlight w:val="none"/>
          <w:u w:val="single"/>
          <w:lang w:eastAsia="zh-CN"/>
        </w:rPr>
        <w:t>壹仟</w:t>
      </w:r>
      <w:r>
        <w:rPr>
          <w:rFonts w:hint="eastAsia" w:ascii="仿宋" w:hAnsi="仿宋" w:eastAsia="仿宋" w:cs="仿宋_GB2312"/>
          <w:b/>
          <w:bCs/>
          <w:color w:val="000000"/>
          <w:sz w:val="24"/>
          <w:highlight w:val="none"/>
          <w:u w:val="single"/>
        </w:rPr>
        <w:t>元</w:t>
      </w:r>
      <w:r>
        <w:rPr>
          <w:rFonts w:hint="eastAsia" w:ascii="仿宋" w:hAnsi="仿宋" w:eastAsia="仿宋" w:cs="仿宋_GB2312"/>
          <w:b/>
          <w:bCs/>
          <w:color w:val="000000"/>
          <w:sz w:val="24"/>
          <w:u w:val="single"/>
        </w:rPr>
        <w:t>整</w:t>
      </w:r>
      <w:r>
        <w:rPr>
          <w:rFonts w:hint="eastAsia" w:ascii="仿宋" w:hAnsi="仿宋" w:eastAsia="仿宋" w:cs="仿宋_GB2312"/>
          <w:color w:val="000000"/>
          <w:sz w:val="24"/>
        </w:rPr>
        <w:t>；</w:t>
      </w:r>
      <w:r>
        <w:rPr>
          <w:rFonts w:hint="eastAsia" w:ascii="仿宋" w:hAnsi="仿宋" w:eastAsia="仿宋" w:cs="仿宋_GB2312"/>
          <w:sz w:val="24"/>
        </w:rPr>
        <w:t>（</w:t>
      </w:r>
      <w:r>
        <w:rPr>
          <w:rFonts w:hint="eastAsia" w:ascii="仿宋" w:hAnsi="仿宋" w:eastAsia="仿宋" w:cs="仿宋_GB2312"/>
          <w:sz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rPr>
        <w:t>）</w:t>
      </w:r>
      <w:r>
        <w:rPr>
          <w:rFonts w:hint="eastAsia" w:ascii="仿宋" w:hAnsi="仿宋" w:eastAsia="仿宋" w:cs="仿宋_GB2312"/>
          <w:b/>
          <w:bCs/>
          <w:sz w:val="24"/>
        </w:rPr>
        <w:t>无投标保证金或未出具投标保证金承诺书视为无效投标。</w:t>
      </w:r>
      <w:r>
        <w:rPr>
          <w:rFonts w:hint="eastAsia" w:ascii="仿宋" w:hAnsi="仿宋" w:eastAsia="仿宋" w:cs="仿宋_GB2312"/>
          <w:sz w:val="24"/>
        </w:rPr>
        <w:t>投标保证金须对公账户转账，不接受个人账户转账，同时要求注明</w:t>
      </w:r>
      <w:r>
        <w:rPr>
          <w:rFonts w:hint="eastAsia" w:ascii="仿宋" w:hAnsi="仿宋" w:eastAsia="仿宋" w:cs="仿宋_GB2312"/>
          <w:b/>
          <w:bCs/>
          <w:sz w:val="24"/>
          <w:u w:val="single"/>
        </w:rPr>
        <w:t>铜陵铜冠建安公司第二事业部</w:t>
      </w:r>
      <w:r>
        <w:rPr>
          <w:rFonts w:hint="eastAsia" w:ascii="仿宋" w:hAnsi="仿宋" w:eastAsia="仿宋" w:cs="仿宋_GB2312"/>
          <w:b/>
          <w:bCs/>
          <w:sz w:val="24"/>
          <w:u w:val="single"/>
          <w:lang w:eastAsia="zh-CN"/>
        </w:rPr>
        <w:t>全鑫矿业</w:t>
      </w:r>
      <w:r>
        <w:rPr>
          <w:rFonts w:hint="eastAsia" w:ascii="仿宋" w:hAnsi="仿宋" w:eastAsia="仿宋" w:cs="仿宋_GB2312"/>
          <w:b/>
          <w:bCs/>
          <w:sz w:val="24"/>
          <w:u w:val="single"/>
        </w:rPr>
        <w:t>项目</w:t>
      </w:r>
      <w:r>
        <w:rPr>
          <w:rFonts w:hint="eastAsia" w:ascii="仿宋" w:hAnsi="仿宋" w:eastAsia="仿宋" w:cs="仿宋_GB2312"/>
          <w:b/>
          <w:bCs/>
          <w:sz w:val="24"/>
          <w:u w:val="single"/>
          <w:lang w:eastAsia="zh-CN"/>
        </w:rPr>
        <w:t>螺栓</w:t>
      </w:r>
      <w:r>
        <w:rPr>
          <w:rFonts w:hint="eastAsia" w:ascii="仿宋" w:hAnsi="仿宋" w:eastAsia="仿宋" w:cs="仿宋_GB2312"/>
          <w:b/>
          <w:bCs/>
          <w:sz w:val="24"/>
          <w:u w:val="single"/>
        </w:rPr>
        <w:t>TGJA-WZ-20231</w:t>
      </w:r>
      <w:r>
        <w:rPr>
          <w:rFonts w:hint="eastAsia" w:ascii="仿宋" w:hAnsi="仿宋" w:eastAsia="仿宋" w:cs="仿宋_GB2312"/>
          <w:b/>
          <w:bCs/>
          <w:sz w:val="24"/>
          <w:u w:val="single"/>
          <w:lang w:val="en-US" w:eastAsia="zh-CN"/>
        </w:rPr>
        <w:t>61</w:t>
      </w:r>
      <w:r>
        <w:rPr>
          <w:rFonts w:hint="eastAsia" w:ascii="仿宋" w:hAnsi="仿宋" w:eastAsia="仿宋" w:cs="仿宋_GB2312"/>
          <w:b/>
          <w:bCs/>
          <w:sz w:val="24"/>
          <w:u w:val="single"/>
        </w:rPr>
        <w:t>投标保证金。</w:t>
      </w:r>
    </w:p>
    <w:p>
      <w:pPr>
        <w:spacing w:line="360" w:lineRule="auto"/>
        <w:ind w:firstLine="482" w:firstLineChars="200"/>
        <w:jc w:val="left"/>
        <w:rPr>
          <w:rFonts w:ascii="仿宋" w:hAnsi="仿宋" w:eastAsia="仿宋" w:cs="仿宋_GB2312"/>
          <w:b/>
          <w:bCs/>
          <w:color w:val="C00000"/>
          <w:sz w:val="24"/>
        </w:rPr>
      </w:pPr>
      <w:r>
        <w:rPr>
          <w:rFonts w:hint="eastAsia" w:ascii="仿宋" w:hAnsi="仿宋" w:eastAsia="仿宋" w:cs="仿宋_GB2312"/>
          <w:b/>
          <w:bCs/>
          <w:color w:val="C00000"/>
          <w:sz w:val="24"/>
        </w:rPr>
        <w:t xml:space="preserve">2、下列任何情况发生时，投标保证金将被不予退还：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（2）中标人未能在规定期限内按照招标文件签订合同协议；</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（3）签署合同后，未能在规定的时间内提供履约保证金；</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（4）投标人在招标中存在违规和违法行为的。</w:t>
      </w:r>
    </w:p>
    <w:p>
      <w:pPr>
        <w:spacing w:line="360" w:lineRule="auto"/>
        <w:ind w:firstLine="480" w:firstLineChars="200"/>
        <w:jc w:val="left"/>
        <w:rPr>
          <w:rFonts w:ascii="仿宋" w:hAnsi="仿宋" w:eastAsia="仿宋" w:cs="仿宋_GB2312"/>
          <w:sz w:val="24"/>
          <w:u w:val="single"/>
        </w:rPr>
      </w:pPr>
      <w:r>
        <w:rPr>
          <w:rFonts w:hint="eastAsia" w:ascii="仿宋" w:hAnsi="仿宋" w:eastAsia="仿宋" w:cs="仿宋_GB2312"/>
          <w:sz w:val="24"/>
        </w:rPr>
        <w:t>（5）中标人因自身原因放弃中标资格的。</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 xml:space="preserve">3、在签订合同前，中标人须交纳履约保证金。履约保证金金额为中标合同总金额的 </w:t>
      </w:r>
      <w:r>
        <w:rPr>
          <w:rFonts w:hint="eastAsia" w:ascii="仿宋" w:hAnsi="仿宋" w:eastAsia="仿宋" w:cs="仿宋_GB2312"/>
          <w:sz w:val="24"/>
          <w:u w:val="single"/>
        </w:rPr>
        <w:t xml:space="preserve">10% </w:t>
      </w:r>
      <w:r>
        <w:rPr>
          <w:rFonts w:hint="eastAsia" w:ascii="仿宋" w:hAnsi="仿宋" w:eastAsia="仿宋" w:cs="仿宋_GB2312"/>
          <w:sz w:val="24"/>
        </w:rPr>
        <w:t>（</w:t>
      </w:r>
      <w:r>
        <w:rPr>
          <w:rFonts w:hint="eastAsia" w:ascii="仿宋" w:hAnsi="仿宋" w:eastAsia="仿宋" w:cs="仿宋_GB2312"/>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4、招标人与中标人签订合同后</w:t>
      </w:r>
      <w:r>
        <w:rPr>
          <w:rFonts w:hint="eastAsia" w:ascii="仿宋" w:hAnsi="仿宋" w:eastAsia="仿宋" w:cs="仿宋_GB2312"/>
          <w:sz w:val="24"/>
          <w:lang w:val="en-US" w:eastAsia="zh-CN"/>
        </w:rPr>
        <w:t>30</w:t>
      </w:r>
      <w:r>
        <w:rPr>
          <w:rFonts w:hint="eastAsia" w:ascii="仿宋" w:hAnsi="仿宋" w:eastAsia="仿宋" w:cs="仿宋_GB2312"/>
          <w:sz w:val="24"/>
        </w:rPr>
        <w:t>日内，向未中标的投标人退还投标保证金（无息），中标人在签订合同并交纳履约保证金后退还投标保证金（无息）。</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5、公司对公账户信息</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账户名称：</w:t>
      </w:r>
      <w:r>
        <w:rPr>
          <w:rFonts w:hint="eastAsia" w:ascii="仿宋" w:hAnsi="仿宋" w:eastAsia="仿宋" w:cs="仿宋_GB2312"/>
          <w:sz w:val="24"/>
          <w:u w:val="single"/>
        </w:rPr>
        <w:t>铜陵有色金属集团铜冠建筑安装股份有限公司</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    号：</w:t>
      </w:r>
      <w:r>
        <w:rPr>
          <w:rFonts w:hint="eastAsia" w:ascii="仿宋" w:hAnsi="仿宋" w:eastAsia="仿宋" w:cs="仿宋_GB2312"/>
          <w:sz w:val="24"/>
          <w:u w:val="single"/>
        </w:rPr>
        <w:t>1308024009200056147</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开 户 行：</w:t>
      </w:r>
      <w:r>
        <w:rPr>
          <w:rFonts w:hint="eastAsia" w:ascii="仿宋" w:hAnsi="仿宋" w:eastAsia="仿宋" w:cs="仿宋_GB2312"/>
          <w:sz w:val="24"/>
          <w:u w:val="single"/>
        </w:rPr>
        <w:t>工行铜陵铜都支行</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
          <w:sz w:val="24"/>
          <w:highlight w:val="cyan"/>
          <w:u w:val="single"/>
        </w:rPr>
      </w:pPr>
      <w:r>
        <w:rPr>
          <w:rFonts w:hint="eastAsia" w:ascii="仿宋" w:hAnsi="仿宋" w:eastAsia="仿宋" w:cs="仿宋_GB2312"/>
          <w:sz w:val="24"/>
        </w:rPr>
        <w:t>1、</w:t>
      </w:r>
      <w:r>
        <w:rPr>
          <w:rFonts w:hint="eastAsia" w:ascii="仿宋" w:hAnsi="仿宋" w:eastAsia="仿宋" w:cs="仿宋"/>
          <w:sz w:val="24"/>
        </w:rPr>
        <w:t>投标文件递交的截止时间：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2、投标文件递交地点：铜陵有色金属集团</w:t>
      </w:r>
      <w:bookmarkStart w:id="0" w:name="_GoBack"/>
      <w:bookmarkEnd w:id="0"/>
      <w:r>
        <w:rPr>
          <w:rFonts w:hint="eastAsia" w:ascii="仿宋" w:hAnsi="仿宋" w:eastAsia="仿宋" w:cs="仿宋"/>
          <w:sz w:val="24"/>
        </w:rPr>
        <w:t>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3、投标文件收件人：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b/>
          <w:sz w:val="24"/>
        </w:rPr>
      </w:pPr>
      <w:r>
        <w:rPr>
          <w:rFonts w:hint="eastAsia" w:ascii="仿宋" w:hAnsi="仿宋" w:eastAsia="仿宋" w:cs="仿宋"/>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ascii="仿宋" w:hAnsi="仿宋" w:eastAsia="仿宋" w:cs="仿宋_GB2312"/>
          <w:b/>
          <w:sz w:val="32"/>
          <w:szCs w:val="32"/>
        </w:rPr>
      </w:pP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1、本次招标材料的质量相关要求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（1）材料质量要求</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sz w:val="24"/>
          <w:u w:val="single"/>
        </w:rPr>
        <w:t>符合国家最新标准技术要求和招标文件要求</w:t>
      </w:r>
      <w:r>
        <w:rPr>
          <w:rFonts w:hint="eastAsia" w:ascii="仿宋_GB2312" w:hAnsi="仿宋_GB2312" w:eastAsia="仿宋_GB2312" w:cs="仿宋_GB2312"/>
          <w:sz w:val="24"/>
          <w:u w:val="single"/>
        </w:rPr>
        <w:t>。</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（2）投标人如若中标，提供的材料必须符合技术指标要求。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（3）若达不到招标人要求的，中标人无条件将该车货物拉回且不计货款，动用招标人机械装货收取</w:t>
      </w:r>
      <w:r>
        <w:rPr>
          <w:rFonts w:hint="eastAsia" w:ascii="仿宋" w:hAnsi="仿宋" w:eastAsia="仿宋" w:cs="仿宋_GB2312"/>
          <w:b/>
          <w:bCs/>
          <w:color w:val="FF0000"/>
          <w:sz w:val="24"/>
          <w:u w:val="single"/>
        </w:rPr>
        <w:t>500</w:t>
      </w:r>
      <w:r>
        <w:rPr>
          <w:rFonts w:hint="eastAsia" w:ascii="仿宋" w:hAnsi="仿宋" w:eastAsia="仿宋" w:cs="仿宋_GB2312"/>
          <w:sz w:val="24"/>
        </w:rPr>
        <w:t>元/车装车费。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u w:val="single"/>
        </w:rPr>
        <w:t>一年内</w:t>
      </w:r>
      <w:r>
        <w:rPr>
          <w:rFonts w:hint="eastAsia" w:ascii="仿宋" w:hAnsi="仿宋" w:eastAsia="仿宋" w:cs="仿宋_GB2312"/>
          <w:sz w:val="24"/>
        </w:rPr>
        <w:t>禁止参加铜冠建安公司招标。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2、交货地点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lang w:eastAsia="zh-CN"/>
        </w:rPr>
        <w:t>第二事业部全鑫矿业项目</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360" w:lineRule="auto"/>
        <w:ind w:firstLine="480" w:firstLineChars="200"/>
        <w:rPr>
          <w:rFonts w:ascii="仿宋" w:hAnsi="仿宋" w:eastAsia="仿宋" w:cs="仿宋_GB2312"/>
          <w:sz w:val="24"/>
          <w:highlight w:val="green"/>
        </w:rPr>
      </w:pPr>
      <w:r>
        <w:rPr>
          <w:rFonts w:hint="eastAsia" w:ascii="仿宋" w:hAnsi="仿宋" w:eastAsia="仿宋" w:cs="仿宋_GB2312"/>
          <w:sz w:val="24"/>
        </w:rPr>
        <w:t>（1）</w:t>
      </w:r>
      <w:r>
        <w:rPr>
          <w:rFonts w:hint="eastAsia" w:ascii="仿宋" w:hAnsi="仿宋" w:eastAsia="仿宋" w:cs="仿宋_GB2312"/>
          <w:sz w:val="24"/>
          <w:u w:val="single"/>
        </w:rPr>
        <w:t>报价为含税</w:t>
      </w:r>
      <w:r>
        <w:rPr>
          <w:rFonts w:hint="eastAsia" w:ascii="仿宋" w:hAnsi="仿宋" w:eastAsia="仿宋" w:cs="仿宋_GB2312"/>
          <w:color w:val="000000"/>
          <w:sz w:val="24"/>
          <w:u w:val="single"/>
        </w:rPr>
        <w:t>含运费价</w:t>
      </w:r>
      <w:r>
        <w:rPr>
          <w:rFonts w:hint="eastAsia" w:ascii="仿宋" w:hAnsi="仿宋" w:eastAsia="仿宋" w:cs="仿宋_GB2312"/>
          <w:color w:val="000000"/>
          <w:sz w:val="24"/>
          <w:highlight w:val="none"/>
          <w:u w:val="single"/>
        </w:rPr>
        <w:t>含</w:t>
      </w:r>
      <w:r>
        <w:rPr>
          <w:rFonts w:hint="eastAsia" w:ascii="仿宋" w:hAnsi="仿宋" w:eastAsia="仿宋" w:cs="仿宋_GB2312"/>
          <w:color w:val="000000"/>
          <w:sz w:val="24"/>
          <w:highlight w:val="none"/>
          <w:u w:val="single"/>
          <w:lang w:eastAsia="zh-CN"/>
        </w:rPr>
        <w:t>装卸</w:t>
      </w:r>
      <w:r>
        <w:rPr>
          <w:rFonts w:hint="eastAsia" w:ascii="仿宋" w:hAnsi="仿宋" w:eastAsia="仿宋" w:cs="仿宋_GB2312"/>
          <w:color w:val="000000"/>
          <w:sz w:val="24"/>
          <w:u w:val="single"/>
        </w:rPr>
        <w:t>费一票制</w:t>
      </w:r>
      <w:r>
        <w:rPr>
          <w:rFonts w:hint="eastAsia" w:ascii="仿宋" w:hAnsi="仿宋" w:eastAsia="仿宋" w:cs="仿宋_GB2312"/>
          <w:sz w:val="24"/>
          <w:u w:val="single"/>
        </w:rPr>
        <w:t>（税率为13%）</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color w:val="000000"/>
          <w:sz w:val="24"/>
          <w:u w:val="single"/>
        </w:rPr>
      </w:pPr>
      <w:r>
        <w:rPr>
          <w:rFonts w:hint="eastAsia" w:ascii="仿宋" w:hAnsi="仿宋" w:eastAsia="仿宋" w:cs="仿宋_GB2312"/>
          <w:sz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u w:val="single"/>
        </w:rPr>
        <w:t>后期价格不予调整</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（3）投标保证金汇款凭证复印件必须内附在投标文件中。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rPr>
        <w:t>结算数量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供货数量的确认：以铜冠建安公司人员签字的送货单为准。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560"/>
        <w:rPr>
          <w:rFonts w:ascii="仿宋" w:hAnsi="仿宋" w:eastAsia="仿宋" w:cs="仿宋_GB2312"/>
          <w:spacing w:val="-17"/>
          <w:sz w:val="24"/>
          <w:u w:val="single"/>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themeColor="text1"/>
          <w:sz w:val="24"/>
          <w:u w:val="single"/>
          <w14:textFill>
            <w14:solidFill>
              <w14:schemeClr w14:val="tx1"/>
            </w14:solidFill>
          </w14:textFill>
        </w:rPr>
        <w:t>合同签订后，</w:t>
      </w:r>
      <w:r>
        <w:rPr>
          <w:rFonts w:hint="eastAsia" w:ascii="仿宋" w:hAnsi="仿宋" w:eastAsia="仿宋" w:cs="仿宋"/>
          <w:color w:val="000000" w:themeColor="text1"/>
          <w:sz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u w:val="single"/>
          <w:shd w:val="clear" w:color="auto" w:fill="FFFFFF"/>
        </w:rPr>
        <w:t>货款以对公转账方式支付至供方对公账户，支付电汇或不超过</w:t>
      </w:r>
      <w:r>
        <w:rPr>
          <w:rFonts w:hint="eastAsia" w:ascii="仿宋" w:hAnsi="仿宋" w:eastAsia="仿宋" w:cs="仿宋"/>
          <w:color w:val="171A1D"/>
          <w:sz w:val="24"/>
          <w:u w:val="single"/>
          <w:shd w:val="clear" w:color="auto" w:fill="FFFFFF"/>
          <w:lang w:eastAsia="zh-CN"/>
        </w:rPr>
        <w:t>发票</w:t>
      </w:r>
      <w:r>
        <w:rPr>
          <w:rFonts w:hint="eastAsia" w:ascii="仿宋" w:hAnsi="仿宋" w:eastAsia="仿宋" w:cs="仿宋"/>
          <w:color w:val="171A1D"/>
          <w:sz w:val="24"/>
          <w:u w:val="single"/>
          <w:shd w:val="clear" w:color="auto" w:fill="FFFFFF"/>
        </w:rPr>
        <w:t>总金额50%的6个月内银行电子承兑。</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20"/>
        <w:spacing w:line="560" w:lineRule="exact"/>
        <w:rPr>
          <w:rFonts w:ascii="仿宋" w:hAnsi="仿宋" w:eastAsia="仿宋"/>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560" w:lineRule="exact"/>
        <w:ind w:firstLine="480" w:firstLineChars="200"/>
        <w:rPr>
          <w:rFonts w:ascii="仿宋" w:hAnsi="仿宋" w:eastAsia="仿宋" w:cs="仿宋_GB2312"/>
          <w:sz w:val="24"/>
        </w:rPr>
      </w:pP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560" w:lineRule="exact"/>
        <w:ind w:firstLine="480" w:firstLineChars="200"/>
        <w:rPr>
          <w:rFonts w:ascii="仿宋" w:hAnsi="仿宋" w:eastAsia="仿宋" w:cs="仿宋_GB2312"/>
          <w:sz w:val="24"/>
        </w:rPr>
      </w:pPr>
    </w:p>
    <w:p>
      <w:pPr>
        <w:spacing w:line="560" w:lineRule="exact"/>
        <w:ind w:firstLine="6240" w:firstLineChars="2600"/>
        <w:rPr>
          <w:rFonts w:ascii="仿宋" w:hAnsi="仿宋" w:eastAsia="仿宋" w:cs="仿宋_GB2312"/>
          <w:sz w:val="28"/>
          <w:szCs w:val="28"/>
        </w:rPr>
      </w:pPr>
      <w:r>
        <w:rPr>
          <w:rFonts w:hint="eastAsia" w:ascii="仿宋" w:hAnsi="仿宋" w:eastAsia="仿宋" w:cs="仿宋_GB2312"/>
          <w:sz w:val="24"/>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ascii="仿宋" w:hAnsi="仿宋" w:eastAsia="仿宋" w:cs="仿宋_GB2312"/>
          <w:sz w:val="28"/>
          <w:szCs w:val="28"/>
        </w:rPr>
      </w:pPr>
    </w:p>
    <w:p>
      <w:pPr>
        <w:spacing w:line="560" w:lineRule="exact"/>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560" w:lineRule="exact"/>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ascii="仿宋" w:hAnsi="仿宋" w:eastAsia="仿宋" w:cs="仿宋_GB2312"/>
          <w:color w:val="000000"/>
          <w:sz w:val="24"/>
          <w:u w:val="single"/>
        </w:rPr>
      </w:pPr>
    </w:p>
    <w:p>
      <w:pPr>
        <w:spacing w:line="560" w:lineRule="exact"/>
        <w:ind w:firstLine="4560" w:firstLineChars="1900"/>
        <w:rPr>
          <w:rFonts w:ascii="仿宋" w:hAnsi="仿宋" w:eastAsia="仿宋" w:cs="仿宋_GB2312"/>
          <w:sz w:val="24"/>
        </w:rPr>
      </w:pP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560" w:lineRule="exact"/>
        <w:ind w:firstLine="1744" w:firstLineChars="800"/>
        <w:rPr>
          <w:rFonts w:ascii="仿宋" w:hAnsi="仿宋" w:eastAsia="仿宋" w:cs="仿宋_GB2312"/>
          <w:sz w:val="28"/>
          <w:szCs w:val="28"/>
        </w:rPr>
      </w:pPr>
      <w:r>
        <w:rPr>
          <w:rFonts w:hint="eastAsia" w:ascii="仿宋" w:hAnsi="仿宋" w:eastAsia="仿宋" w:cs="仿宋_GB2312"/>
          <w:spacing w:val="-11"/>
          <w:sz w:val="24"/>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ascii="仿宋" w:hAnsi="仿宋" w:eastAsia="仿宋"/>
          <w:b/>
          <w:sz w:val="24"/>
        </w:rPr>
      </w:pPr>
      <w:r>
        <w:rPr>
          <w:rFonts w:hint="eastAsia" w:ascii="仿宋" w:hAnsi="仿宋" w:eastAsia="仿宋"/>
          <w:b/>
          <w:sz w:val="24"/>
        </w:rPr>
        <w:t>报价单（TGJA-WZ-20231</w:t>
      </w:r>
      <w:r>
        <w:rPr>
          <w:rFonts w:hint="eastAsia" w:ascii="仿宋" w:hAnsi="仿宋" w:eastAsia="仿宋"/>
          <w:b/>
          <w:sz w:val="24"/>
          <w:lang w:val="en-US" w:eastAsia="zh-CN"/>
        </w:rPr>
        <w:t>61</w:t>
      </w:r>
      <w:r>
        <w:rPr>
          <w:rFonts w:hint="eastAsia" w:ascii="仿宋" w:hAnsi="仿宋" w:eastAsia="仿宋"/>
          <w:b/>
          <w:sz w:val="24"/>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3348"/>
        <w:gridCol w:w="664"/>
        <w:gridCol w:w="982"/>
        <w:gridCol w:w="1213"/>
        <w:gridCol w:w="1255"/>
        <w:gridCol w:w="1338"/>
        <w:gridCol w:w="958"/>
        <w:gridCol w:w="1517"/>
        <w:gridCol w:w="32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jc w:val="center"/>
              <w:rPr>
                <w:rFonts w:ascii="仿宋" w:hAnsi="仿宋" w:eastAsia="仿宋"/>
                <w:sz w:val="24"/>
              </w:rPr>
            </w:pPr>
            <w:r>
              <w:rPr>
                <w:rFonts w:hint="eastAsia" w:ascii="仿宋" w:hAnsi="仿宋" w:eastAsia="仿宋" w:cs="仿宋"/>
                <w:sz w:val="24"/>
              </w:rPr>
              <w:t>序号</w:t>
            </w:r>
          </w:p>
        </w:tc>
        <w:tc>
          <w:tcPr>
            <w:tcW w:w="1530" w:type="dxa"/>
            <w:vAlign w:val="center"/>
          </w:tcPr>
          <w:p>
            <w:pPr>
              <w:jc w:val="center"/>
              <w:rPr>
                <w:rFonts w:ascii="仿宋" w:hAnsi="仿宋" w:eastAsia="仿宋"/>
                <w:sz w:val="24"/>
              </w:rPr>
            </w:pPr>
            <w:r>
              <w:rPr>
                <w:rFonts w:hint="eastAsia" w:ascii="仿宋" w:hAnsi="仿宋" w:eastAsia="仿宋" w:cs="仿宋"/>
                <w:sz w:val="24"/>
              </w:rPr>
              <w:t>物料名称</w:t>
            </w:r>
          </w:p>
        </w:tc>
        <w:tc>
          <w:tcPr>
            <w:tcW w:w="4012" w:type="dxa"/>
            <w:gridSpan w:val="2"/>
            <w:vAlign w:val="center"/>
          </w:tcPr>
          <w:p>
            <w:pPr>
              <w:jc w:val="center"/>
              <w:rPr>
                <w:rFonts w:ascii="仿宋" w:hAnsi="仿宋" w:eastAsia="仿宋"/>
                <w:sz w:val="24"/>
              </w:rPr>
            </w:pPr>
            <w:r>
              <w:rPr>
                <w:rFonts w:hint="eastAsia" w:ascii="仿宋" w:hAnsi="仿宋" w:eastAsia="仿宋" w:cs="仿宋"/>
                <w:sz w:val="24"/>
              </w:rPr>
              <w:t>型号规格</w:t>
            </w:r>
          </w:p>
        </w:tc>
        <w:tc>
          <w:tcPr>
            <w:tcW w:w="982" w:type="dxa"/>
            <w:vAlign w:val="center"/>
          </w:tcPr>
          <w:p>
            <w:pPr>
              <w:jc w:val="center"/>
              <w:rPr>
                <w:rFonts w:ascii="仿宋" w:hAnsi="仿宋" w:eastAsia="仿宋"/>
                <w:sz w:val="24"/>
              </w:rPr>
            </w:pPr>
            <w:r>
              <w:rPr>
                <w:rFonts w:hint="eastAsia" w:ascii="仿宋" w:hAnsi="仿宋" w:eastAsia="仿宋" w:cs="仿宋"/>
                <w:sz w:val="24"/>
              </w:rPr>
              <w:t>单位</w:t>
            </w:r>
          </w:p>
        </w:tc>
        <w:tc>
          <w:tcPr>
            <w:tcW w:w="1213" w:type="dxa"/>
            <w:vAlign w:val="center"/>
          </w:tcPr>
          <w:p>
            <w:pPr>
              <w:jc w:val="center"/>
              <w:rPr>
                <w:rFonts w:ascii="仿宋" w:hAnsi="仿宋" w:eastAsia="仿宋"/>
                <w:sz w:val="24"/>
              </w:rPr>
            </w:pPr>
            <w:r>
              <w:rPr>
                <w:rFonts w:hint="eastAsia" w:ascii="仿宋" w:hAnsi="仿宋" w:eastAsia="仿宋" w:cs="仿宋"/>
                <w:sz w:val="24"/>
              </w:rPr>
              <w:t>数量</w:t>
            </w:r>
          </w:p>
        </w:tc>
        <w:tc>
          <w:tcPr>
            <w:tcW w:w="1255" w:type="dxa"/>
            <w:vAlign w:val="center"/>
          </w:tcPr>
          <w:p>
            <w:pPr>
              <w:jc w:val="center"/>
              <w:rPr>
                <w:rFonts w:ascii="仿宋" w:hAnsi="仿宋" w:eastAsia="仿宋"/>
                <w:sz w:val="24"/>
              </w:rPr>
            </w:pPr>
            <w:r>
              <w:rPr>
                <w:rFonts w:hint="eastAsia" w:ascii="仿宋" w:hAnsi="仿宋" w:eastAsia="仿宋" w:cs="仿宋"/>
                <w:sz w:val="24"/>
              </w:rPr>
              <w:t>单价＊</w:t>
            </w:r>
          </w:p>
        </w:tc>
        <w:tc>
          <w:tcPr>
            <w:tcW w:w="1338" w:type="dxa"/>
            <w:vAlign w:val="center"/>
          </w:tcPr>
          <w:p>
            <w:pPr>
              <w:jc w:val="center"/>
              <w:rPr>
                <w:rFonts w:ascii="仿宋" w:hAnsi="仿宋" w:eastAsia="仿宋"/>
                <w:sz w:val="24"/>
              </w:rPr>
            </w:pPr>
            <w:r>
              <w:rPr>
                <w:rFonts w:hint="eastAsia" w:ascii="仿宋" w:hAnsi="仿宋" w:eastAsia="仿宋" w:cs="仿宋"/>
                <w:sz w:val="24"/>
              </w:rPr>
              <w:t>总价＊</w:t>
            </w: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税率（注明税率及是否为增值税专业发票）＊</w:t>
            </w:r>
          </w:p>
        </w:tc>
        <w:tc>
          <w:tcPr>
            <w:tcW w:w="1875" w:type="dxa"/>
            <w:vAlign w:val="center"/>
          </w:tcPr>
          <w:p>
            <w:pPr>
              <w:jc w:val="center"/>
              <w:rPr>
                <w:rFonts w:ascii="仿宋" w:hAnsi="仿宋" w:eastAsia="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sz w:val="24"/>
              </w:rPr>
            </w:pPr>
            <w:r>
              <w:rPr>
                <w:rFonts w:hint="eastAsia" w:ascii="仿宋" w:hAnsi="仿宋" w:eastAsia="仿宋" w:cs="仿宋"/>
                <w:sz w:val="24"/>
              </w:rPr>
              <w:t>1</w:t>
            </w:r>
          </w:p>
        </w:tc>
        <w:tc>
          <w:tcPr>
            <w:tcW w:w="1530" w:type="dxa"/>
            <w:vAlign w:val="center"/>
          </w:tcPr>
          <w:p>
            <w:pPr>
              <w:jc w:val="center"/>
              <w:rPr>
                <w:rFonts w:hint="eastAsia" w:ascii="仿宋" w:hAnsi="仿宋" w:eastAsia="仿宋"/>
                <w:sz w:val="24"/>
                <w:lang w:eastAsia="zh-CN"/>
              </w:rPr>
            </w:pPr>
            <w:r>
              <w:rPr>
                <w:rFonts w:hint="eastAsia" w:ascii="仿宋" w:hAnsi="仿宋" w:eastAsia="仿宋"/>
                <w:sz w:val="24"/>
                <w:lang w:val="en-US" w:eastAsia="zh-CN"/>
              </w:rPr>
              <w:t>M42螺栓</w:t>
            </w:r>
          </w:p>
        </w:tc>
        <w:tc>
          <w:tcPr>
            <w:tcW w:w="4012" w:type="dxa"/>
            <w:gridSpan w:val="2"/>
            <w:vAlign w:val="center"/>
          </w:tcPr>
          <w:p>
            <w:pPr>
              <w:widowControl/>
              <w:tabs>
                <w:tab w:val="left" w:pos="3360"/>
              </w:tabs>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1、规格：φ42mm； 2、单根长度750mm；    3、丝牙长度235mm；4、单根配套3个螺母；5、Q355B</w:t>
            </w:r>
          </w:p>
        </w:tc>
        <w:tc>
          <w:tcPr>
            <w:tcW w:w="982"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cs="仿宋"/>
                <w:sz w:val="24"/>
                <w:lang w:eastAsia="zh-CN"/>
              </w:rPr>
              <w:t>根</w:t>
            </w:r>
          </w:p>
        </w:tc>
        <w:tc>
          <w:tcPr>
            <w:tcW w:w="1213" w:type="dxa"/>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16</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M36螺栓</w:t>
            </w:r>
          </w:p>
        </w:tc>
        <w:tc>
          <w:tcPr>
            <w:tcW w:w="4012" w:type="dxa"/>
            <w:gridSpan w:val="2"/>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1、规格：φ36mm；2、单根长度1120mm；    3、丝牙长度220mm；4、单根配套3个螺母；5、Q355B</w:t>
            </w:r>
          </w:p>
        </w:tc>
        <w:tc>
          <w:tcPr>
            <w:tcW w:w="982"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根</w:t>
            </w:r>
          </w:p>
        </w:tc>
        <w:tc>
          <w:tcPr>
            <w:tcW w:w="1213" w:type="dxa"/>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368</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M30螺栓</w:t>
            </w:r>
          </w:p>
        </w:tc>
        <w:tc>
          <w:tcPr>
            <w:tcW w:w="4012" w:type="dxa"/>
            <w:gridSpan w:val="2"/>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1、规格：φ30mm；2、单根长度1000mm；    3、丝牙长度220mm；4、单根配套3个螺母；5、Q355B</w:t>
            </w:r>
          </w:p>
        </w:tc>
        <w:tc>
          <w:tcPr>
            <w:tcW w:w="982"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根</w:t>
            </w:r>
          </w:p>
        </w:tc>
        <w:tc>
          <w:tcPr>
            <w:tcW w:w="1213" w:type="dxa"/>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1376</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trPr>
        <w:tc>
          <w:tcPr>
            <w:tcW w:w="443" w:type="dxa"/>
            <w:vAlign w:val="center"/>
          </w:tcPr>
          <w:p>
            <w:pPr>
              <w:jc w:val="center"/>
              <w:rPr>
                <w:rFonts w:ascii="仿宋" w:hAnsi="仿宋" w:eastAsia="仿宋"/>
                <w:sz w:val="24"/>
              </w:rPr>
            </w:pPr>
          </w:p>
        </w:tc>
        <w:tc>
          <w:tcPr>
            <w:tcW w:w="1530" w:type="dxa"/>
            <w:vAlign w:val="center"/>
          </w:tcPr>
          <w:p>
            <w:pPr>
              <w:jc w:val="center"/>
              <w:rPr>
                <w:sz w:val="24"/>
              </w:rPr>
            </w:pPr>
            <w:r>
              <w:rPr>
                <w:rFonts w:hint="eastAsia" w:ascii="仿宋" w:hAnsi="仿宋" w:eastAsia="仿宋" w:cs="仿宋"/>
                <w:sz w:val="24"/>
              </w:rPr>
              <w:t>合计＊</w:t>
            </w:r>
          </w:p>
        </w:tc>
        <w:tc>
          <w:tcPr>
            <w:tcW w:w="4012" w:type="dxa"/>
            <w:gridSpan w:val="2"/>
            <w:vAlign w:val="center"/>
          </w:tcPr>
          <w:p>
            <w:pPr>
              <w:jc w:val="center"/>
              <w:rPr>
                <w:sz w:val="24"/>
              </w:rPr>
            </w:pPr>
          </w:p>
        </w:tc>
        <w:tc>
          <w:tcPr>
            <w:tcW w:w="982" w:type="dxa"/>
            <w:vAlign w:val="center"/>
          </w:tcPr>
          <w:p>
            <w:pPr>
              <w:jc w:val="center"/>
              <w:rPr>
                <w:sz w:val="24"/>
              </w:rPr>
            </w:pPr>
          </w:p>
        </w:tc>
        <w:tc>
          <w:tcPr>
            <w:tcW w:w="1213" w:type="dxa"/>
            <w:vAlign w:val="center"/>
          </w:tcPr>
          <w:p>
            <w:pPr>
              <w:jc w:val="center"/>
              <w:rPr>
                <w:sz w:val="24"/>
              </w:rPr>
            </w:pPr>
          </w:p>
        </w:tc>
        <w:tc>
          <w:tcPr>
            <w:tcW w:w="1255" w:type="dxa"/>
            <w:vAlign w:val="center"/>
          </w:tcPr>
          <w:p>
            <w:pPr>
              <w:jc w:val="center"/>
              <w:rPr>
                <w:sz w:val="24"/>
              </w:rPr>
            </w:pPr>
          </w:p>
        </w:tc>
        <w:tc>
          <w:tcPr>
            <w:tcW w:w="1338" w:type="dxa"/>
            <w:vAlign w:val="center"/>
          </w:tcPr>
          <w:p>
            <w:pPr>
              <w:jc w:val="center"/>
              <w:rPr>
                <w:sz w:val="24"/>
              </w:rPr>
            </w:pPr>
          </w:p>
        </w:tc>
        <w:tc>
          <w:tcPr>
            <w:tcW w:w="2795" w:type="dxa"/>
            <w:gridSpan w:val="3"/>
            <w:vAlign w:val="center"/>
          </w:tcPr>
          <w:p>
            <w:pPr>
              <w:jc w:val="center"/>
              <w:rPr>
                <w:sz w:val="24"/>
              </w:rPr>
            </w:pPr>
          </w:p>
        </w:tc>
        <w:tc>
          <w:tcPr>
            <w:tcW w:w="187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2"/>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cs="仿宋"/>
                <w:sz w:val="24"/>
              </w:rPr>
            </w:pPr>
            <w:r>
              <w:rPr>
                <w:rFonts w:hint="eastAsia" w:ascii="仿宋" w:hAnsi="仿宋" w:eastAsia="仿宋" w:cs="仿宋"/>
                <w:sz w:val="24"/>
              </w:rPr>
              <w:t>3、本次报价数量为项目预估量，具体数量以实际结算量为准。</w:t>
            </w:r>
          </w:p>
          <w:p>
            <w:pPr>
              <w:ind w:firstLine="960" w:firstLineChars="4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3"/>
            <w:vMerge w:val="restart"/>
            <w:vAlign w:val="center"/>
          </w:tcPr>
          <w:p>
            <w:pPr>
              <w:rPr>
                <w:rFonts w:ascii="仿宋" w:hAnsi="仿宋" w:eastAsia="仿宋"/>
                <w:sz w:val="24"/>
              </w:rPr>
            </w:pPr>
            <w:r>
              <w:rPr>
                <w:rFonts w:hint="eastAsia" w:ascii="仿宋" w:hAnsi="仿宋" w:eastAsia="仿宋" w:cs="仿宋"/>
                <w:sz w:val="24"/>
              </w:rPr>
              <w:t>投标单位（公章）</w:t>
            </w:r>
          </w:p>
        </w:tc>
        <w:tc>
          <w:tcPr>
            <w:tcW w:w="6410" w:type="dxa"/>
            <w:gridSpan w:val="6"/>
            <w:vAlign w:val="center"/>
          </w:tcPr>
          <w:p>
            <w:pPr>
              <w:jc w:val="center"/>
              <w:rPr>
                <w:rFonts w:ascii="仿宋" w:hAnsi="仿宋" w:eastAsia="仿宋"/>
                <w:sz w:val="24"/>
              </w:rPr>
            </w:pPr>
            <w:r>
              <w:rPr>
                <w:rFonts w:hint="eastAsia" w:ascii="仿宋" w:hAnsi="仿宋" w:eastAsia="仿宋" w:cs="仿宋"/>
                <w:sz w:val="24"/>
              </w:rPr>
              <w:t>法定代表人或授权委托人</w:t>
            </w:r>
          </w:p>
        </w:tc>
        <w:tc>
          <w:tcPr>
            <w:tcW w:w="3712"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3"/>
            <w:vMerge w:val="continue"/>
            <w:vAlign w:val="center"/>
          </w:tcPr>
          <w:p>
            <w:pPr>
              <w:rPr>
                <w:rFonts w:ascii="仿宋" w:hAnsi="仿宋" w:eastAsia="仿宋"/>
                <w:sz w:val="24"/>
              </w:rPr>
            </w:pPr>
          </w:p>
        </w:tc>
        <w:tc>
          <w:tcPr>
            <w:tcW w:w="6410" w:type="dxa"/>
            <w:gridSpan w:val="6"/>
            <w:vAlign w:val="center"/>
          </w:tcPr>
          <w:p>
            <w:pPr>
              <w:jc w:val="center"/>
              <w:rPr>
                <w:rFonts w:ascii="仿宋" w:hAnsi="仿宋" w:eastAsia="仿宋"/>
                <w:sz w:val="24"/>
              </w:rPr>
            </w:pPr>
            <w:r>
              <w:rPr>
                <w:rFonts w:hint="eastAsia" w:ascii="仿宋" w:hAnsi="仿宋" w:eastAsia="仿宋" w:cs="仿宋"/>
                <w:sz w:val="24"/>
              </w:rPr>
              <w:t>联系方式</w:t>
            </w:r>
          </w:p>
        </w:tc>
        <w:tc>
          <w:tcPr>
            <w:tcW w:w="1517" w:type="dxa"/>
            <w:vAlign w:val="center"/>
          </w:tcPr>
          <w:p>
            <w:pPr>
              <w:jc w:val="center"/>
              <w:rPr>
                <w:rFonts w:ascii="仿宋" w:hAnsi="仿宋" w:eastAsia="仿宋"/>
                <w:sz w:val="24"/>
              </w:rPr>
            </w:pPr>
            <w:r>
              <w:rPr>
                <w:rFonts w:hint="eastAsia" w:ascii="仿宋" w:hAnsi="仿宋" w:eastAsia="仿宋" w:cs="仿宋"/>
                <w:sz w:val="24"/>
              </w:rPr>
              <w:t>电话</w:t>
            </w:r>
          </w:p>
        </w:tc>
        <w:tc>
          <w:tcPr>
            <w:tcW w:w="2195" w:type="dxa"/>
            <w:gridSpan w:val="2"/>
            <w:vAlign w:val="center"/>
          </w:tcPr>
          <w:p>
            <w:pPr>
              <w:rPr>
                <w:sz w:val="24"/>
              </w:rPr>
            </w:pPr>
          </w:p>
        </w:tc>
      </w:tr>
    </w:tbl>
    <w:p>
      <w:pPr>
        <w:jc w:val="center"/>
        <w:rPr>
          <w:rFonts w:hint="eastAsia"/>
          <w:b/>
          <w:bCs/>
          <w:sz w:val="36"/>
          <w:szCs w:val="36"/>
        </w:rPr>
      </w:pPr>
    </w:p>
    <w:p>
      <w:pPr>
        <w:jc w:val="center"/>
        <w:rPr>
          <w:rFonts w:hint="eastAsia" w:eastAsia="宋体"/>
          <w:b/>
          <w:bCs/>
          <w:sz w:val="36"/>
          <w:szCs w:val="36"/>
          <w:lang w:eastAsia="zh-CN"/>
        </w:rPr>
      </w:pPr>
      <w:r>
        <w:rPr>
          <w:rFonts w:hint="eastAsia"/>
          <w:b/>
          <w:bCs/>
          <w:sz w:val="36"/>
          <w:szCs w:val="36"/>
        </w:rPr>
        <w:t>预埋螺栓加工</w:t>
      </w:r>
      <w:r>
        <w:rPr>
          <w:rFonts w:hint="eastAsia"/>
          <w:b/>
          <w:bCs/>
          <w:sz w:val="36"/>
          <w:szCs w:val="36"/>
          <w:lang w:val="en-US" w:eastAsia="zh-CN"/>
        </w:rPr>
        <w:t>大样图</w:t>
      </w:r>
    </w:p>
    <w:p>
      <w:pPr>
        <w:rPr>
          <w:rFonts w:hint="eastAsia"/>
        </w:rPr>
      </w:pPr>
      <w:r>
        <w:rPr>
          <w:rFonts w:hint="eastAsia"/>
        </w:rPr>
        <w:t>委托单位：铜陵有色铜冠建筑安装股份有限公司—</w:t>
      </w:r>
      <w:r>
        <w:rPr>
          <w:rFonts w:hint="eastAsia"/>
          <w:lang w:val="en-US" w:eastAsia="zh-CN"/>
        </w:rPr>
        <w:t>全鑫矿业</w:t>
      </w:r>
      <w:r>
        <w:rPr>
          <w:rFonts w:hint="eastAsia"/>
        </w:rPr>
        <w:t>项目部</w:t>
      </w:r>
    </w:p>
    <w:p>
      <w:pPr>
        <w:rPr>
          <w:rFonts w:hint="default" w:eastAsia="宋体"/>
          <w:lang w:val="en-US" w:eastAsia="zh-CN"/>
        </w:rPr>
      </w:pPr>
      <w:r>
        <w:rPr>
          <w:rFonts w:hint="eastAsia"/>
        </w:rPr>
        <w:t>工程名称：</w:t>
      </w:r>
      <w:r>
        <w:rPr>
          <w:rFonts w:hint="eastAsia" w:ascii="宋体" w:hAnsi="宋体"/>
          <w:sz w:val="21"/>
          <w:szCs w:val="21"/>
          <w:u w:val="none"/>
          <w:lang w:val="en-US" w:eastAsia="zh-CN"/>
        </w:rPr>
        <w:t>全鑫矿业30万吨采选技改项目</w:t>
      </w:r>
    </w:p>
    <w:p>
      <w:pPr>
        <w:ind w:firstLine="105" w:firstLineChars="50"/>
        <w:jc w:val="center"/>
        <w:rPr>
          <w:rFonts w:hint="eastAsia"/>
          <w:b/>
          <w:bCs/>
          <w:lang w:val="en-US" w:eastAsia="zh-CN"/>
        </w:rPr>
      </w:pPr>
      <w:r>
        <w:rPr>
          <w:rFonts w:hint="eastAsia"/>
          <w:b/>
          <w:bCs/>
          <w:lang w:val="en-US" w:eastAsia="zh-CN"/>
        </w:rPr>
        <w:drawing>
          <wp:inline distT="0" distB="0" distL="114300" distR="114300">
            <wp:extent cx="2447925" cy="3519170"/>
            <wp:effectExtent l="0" t="0" r="9525" b="5080"/>
            <wp:docPr id="5" name="图片 5" descr="45fafe90e25785150252848c8416a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5fafe90e25785150252848c8416a86"/>
                    <pic:cNvPicPr>
                      <a:picLocks noChangeAspect="1"/>
                    </pic:cNvPicPr>
                  </pic:nvPicPr>
                  <pic:blipFill>
                    <a:blip r:embed="rId9"/>
                    <a:stretch>
                      <a:fillRect/>
                    </a:stretch>
                  </pic:blipFill>
                  <pic:spPr>
                    <a:xfrm>
                      <a:off x="0" y="0"/>
                      <a:ext cx="2447925" cy="3519170"/>
                    </a:xfrm>
                    <a:prstGeom prst="rect">
                      <a:avLst/>
                    </a:prstGeom>
                  </pic:spPr>
                </pic:pic>
              </a:graphicData>
            </a:graphic>
          </wp:inline>
        </w:drawing>
      </w:r>
    </w:p>
    <w:p>
      <w:pPr>
        <w:ind w:firstLine="105" w:firstLineChars="50"/>
        <w:jc w:val="center"/>
        <w:rPr>
          <w:rFonts w:hint="default" w:eastAsia="宋体"/>
          <w:lang w:val="en-US" w:eastAsia="zh-CN"/>
        </w:rPr>
      </w:pPr>
      <w:r>
        <w:rPr>
          <w:rFonts w:hint="eastAsia"/>
          <w:b/>
          <w:bCs/>
          <w:lang w:val="en-US" w:eastAsia="zh-CN"/>
        </w:rPr>
        <w:t>M42螺栓大样图</w:t>
      </w:r>
    </w:p>
    <w:p>
      <w:pPr>
        <w:ind w:firstLine="105" w:firstLineChars="50"/>
        <w:jc w:val="center"/>
        <w:rPr>
          <w:rFonts w:hint="eastAsia"/>
          <w:b/>
          <w:bCs/>
          <w:lang w:val="en-US" w:eastAsia="zh-CN"/>
        </w:rPr>
      </w:pPr>
      <w:r>
        <w:rPr>
          <w:rFonts w:hint="eastAsia"/>
          <w:b/>
          <w:bCs/>
          <w:lang w:val="en-US" w:eastAsia="zh-CN"/>
        </w:rPr>
        <w:drawing>
          <wp:inline distT="0" distB="0" distL="114300" distR="114300">
            <wp:extent cx="2254250" cy="3702050"/>
            <wp:effectExtent l="0" t="0" r="12700" b="12700"/>
            <wp:docPr id="6" name="图片 6" descr="74804871b44511a11a1b4cdc621a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4804871b44511a11a1b4cdc621a213"/>
                    <pic:cNvPicPr>
                      <a:picLocks noChangeAspect="1"/>
                    </pic:cNvPicPr>
                  </pic:nvPicPr>
                  <pic:blipFill>
                    <a:blip r:embed="rId10"/>
                    <a:stretch>
                      <a:fillRect/>
                    </a:stretch>
                  </pic:blipFill>
                  <pic:spPr>
                    <a:xfrm>
                      <a:off x="0" y="0"/>
                      <a:ext cx="2254250" cy="3702050"/>
                    </a:xfrm>
                    <a:prstGeom prst="rect">
                      <a:avLst/>
                    </a:prstGeom>
                  </pic:spPr>
                </pic:pic>
              </a:graphicData>
            </a:graphic>
          </wp:inline>
        </w:drawing>
      </w:r>
    </w:p>
    <w:p>
      <w:pPr>
        <w:ind w:firstLine="105" w:firstLineChars="50"/>
        <w:jc w:val="center"/>
        <w:rPr>
          <w:rFonts w:hint="default" w:eastAsia="宋体"/>
          <w:lang w:val="en-US" w:eastAsia="zh-CN"/>
        </w:rPr>
      </w:pPr>
      <w:r>
        <w:rPr>
          <w:rFonts w:hint="eastAsia"/>
          <w:b/>
          <w:bCs/>
          <w:lang w:val="en-US" w:eastAsia="zh-CN"/>
        </w:rPr>
        <w:t>M36螺栓大样图</w:t>
      </w:r>
    </w:p>
    <w:p>
      <w:pPr>
        <w:ind w:firstLine="105" w:firstLineChars="50"/>
        <w:jc w:val="center"/>
        <w:rPr>
          <w:rFonts w:hint="default" w:eastAsia="宋体"/>
          <w:lang w:val="en-US" w:eastAsia="zh-CN"/>
        </w:rPr>
      </w:pPr>
    </w:p>
    <w:p>
      <w:pPr>
        <w:ind w:firstLine="105" w:firstLineChars="50"/>
        <w:jc w:val="center"/>
        <w:rPr>
          <w:rFonts w:hint="eastAsia"/>
          <w:b/>
          <w:bCs/>
          <w:lang w:val="en-US" w:eastAsia="zh-CN"/>
        </w:rPr>
      </w:pPr>
      <w:r>
        <w:rPr>
          <w:rFonts w:hint="eastAsia"/>
          <w:b/>
          <w:bCs/>
          <w:lang w:val="en-US" w:eastAsia="zh-CN"/>
        </w:rPr>
        <w:drawing>
          <wp:inline distT="0" distB="0" distL="114300" distR="114300">
            <wp:extent cx="2838450" cy="4146550"/>
            <wp:effectExtent l="0" t="0" r="0" b="6350"/>
            <wp:docPr id="7" name="图片 7" descr="ea906d56d0f26a2bb642703b254be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a906d56d0f26a2bb642703b254be9a"/>
                    <pic:cNvPicPr>
                      <a:picLocks noChangeAspect="1"/>
                    </pic:cNvPicPr>
                  </pic:nvPicPr>
                  <pic:blipFill>
                    <a:blip r:embed="rId11"/>
                    <a:stretch>
                      <a:fillRect/>
                    </a:stretch>
                  </pic:blipFill>
                  <pic:spPr>
                    <a:xfrm>
                      <a:off x="0" y="0"/>
                      <a:ext cx="2838450" cy="4146550"/>
                    </a:xfrm>
                    <a:prstGeom prst="rect">
                      <a:avLst/>
                    </a:prstGeom>
                  </pic:spPr>
                </pic:pic>
              </a:graphicData>
            </a:graphic>
          </wp:inline>
        </w:drawing>
      </w:r>
    </w:p>
    <w:p>
      <w:pPr>
        <w:ind w:firstLine="105" w:firstLineChars="50"/>
        <w:jc w:val="center"/>
        <w:rPr>
          <w:rFonts w:hint="default" w:eastAsia="宋体"/>
          <w:lang w:val="en-US" w:eastAsia="zh-CN"/>
        </w:rPr>
      </w:pPr>
      <w:r>
        <w:rPr>
          <w:rFonts w:hint="eastAsia"/>
          <w:b/>
          <w:bCs/>
          <w:lang w:val="en-US" w:eastAsia="zh-CN"/>
        </w:rPr>
        <w:t>M30螺栓大样图</w:t>
      </w:r>
    </w:p>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5E3D"/>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275C1"/>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2F7CC1"/>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7723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965EB"/>
    <w:rsid w:val="004A03DB"/>
    <w:rsid w:val="004A207A"/>
    <w:rsid w:val="004B43B3"/>
    <w:rsid w:val="004B4474"/>
    <w:rsid w:val="004B559B"/>
    <w:rsid w:val="004B6329"/>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33F"/>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47552"/>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27184"/>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7688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C47"/>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6A27"/>
    <w:rsid w:val="00A56CE9"/>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CBC"/>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1D32558"/>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103B5B"/>
    <w:rsid w:val="0B2B537E"/>
    <w:rsid w:val="0C6241B2"/>
    <w:rsid w:val="0CA911C7"/>
    <w:rsid w:val="0D2B4E23"/>
    <w:rsid w:val="0E2061B7"/>
    <w:rsid w:val="0E876D2F"/>
    <w:rsid w:val="0EC82FD7"/>
    <w:rsid w:val="0FB34554"/>
    <w:rsid w:val="0FC2566F"/>
    <w:rsid w:val="10181623"/>
    <w:rsid w:val="107E735A"/>
    <w:rsid w:val="12A820AD"/>
    <w:rsid w:val="15737884"/>
    <w:rsid w:val="165C0F7F"/>
    <w:rsid w:val="16C25280"/>
    <w:rsid w:val="17D86D23"/>
    <w:rsid w:val="17F4775E"/>
    <w:rsid w:val="18AF15FD"/>
    <w:rsid w:val="19E94006"/>
    <w:rsid w:val="19F83AF8"/>
    <w:rsid w:val="1BBF797C"/>
    <w:rsid w:val="1D83723A"/>
    <w:rsid w:val="1DE26149"/>
    <w:rsid w:val="1DEE2CCA"/>
    <w:rsid w:val="1E052624"/>
    <w:rsid w:val="1E247EC6"/>
    <w:rsid w:val="1EB92EF2"/>
    <w:rsid w:val="1FAB30E7"/>
    <w:rsid w:val="2037683E"/>
    <w:rsid w:val="20637B7A"/>
    <w:rsid w:val="21A61884"/>
    <w:rsid w:val="21D27498"/>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DBC53C0"/>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3F14A51"/>
    <w:rsid w:val="441344E9"/>
    <w:rsid w:val="44842956"/>
    <w:rsid w:val="44B922E9"/>
    <w:rsid w:val="45086E27"/>
    <w:rsid w:val="465E02D2"/>
    <w:rsid w:val="46783742"/>
    <w:rsid w:val="48FC1957"/>
    <w:rsid w:val="499D4ACB"/>
    <w:rsid w:val="4BC1413C"/>
    <w:rsid w:val="4C656785"/>
    <w:rsid w:val="4D0A5562"/>
    <w:rsid w:val="4DFD24AF"/>
    <w:rsid w:val="4E822997"/>
    <w:rsid w:val="4ED20DFA"/>
    <w:rsid w:val="4F0F5DA2"/>
    <w:rsid w:val="4F397E6D"/>
    <w:rsid w:val="4FFE0E94"/>
    <w:rsid w:val="504C2BE7"/>
    <w:rsid w:val="51174B5C"/>
    <w:rsid w:val="51B50E5A"/>
    <w:rsid w:val="54285E4C"/>
    <w:rsid w:val="55306CD3"/>
    <w:rsid w:val="554830C1"/>
    <w:rsid w:val="557E27C2"/>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6B25202"/>
    <w:rsid w:val="66D72D9B"/>
    <w:rsid w:val="69021DF3"/>
    <w:rsid w:val="69AD4D95"/>
    <w:rsid w:val="6A1720C7"/>
    <w:rsid w:val="6A315ABB"/>
    <w:rsid w:val="6A43654D"/>
    <w:rsid w:val="6A87598F"/>
    <w:rsid w:val="6E1970B9"/>
    <w:rsid w:val="6F0109C8"/>
    <w:rsid w:val="6F763902"/>
    <w:rsid w:val="6FE30FB3"/>
    <w:rsid w:val="702B459E"/>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line="576" w:lineRule="auto"/>
      <w:outlineLvl w:val="0"/>
    </w:pPr>
    <w:rPr>
      <w:b/>
      <w:bCs/>
      <w:kern w:val="44"/>
      <w:sz w:val="44"/>
      <w:szCs w:val="44"/>
    </w:rPr>
  </w:style>
  <w:style w:type="paragraph" w:styleId="3">
    <w:name w:val="heading 2"/>
    <w:basedOn w:val="1"/>
    <w:next w:val="1"/>
    <w:link w:val="138"/>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line="415" w:lineRule="auto"/>
      <w:outlineLvl w:val="2"/>
    </w:pPr>
    <w:rPr>
      <w:b/>
      <w:bCs/>
      <w:sz w:val="32"/>
      <w:szCs w:val="32"/>
    </w:rPr>
  </w:style>
  <w:style w:type="paragraph" w:styleId="5">
    <w:name w:val="heading 4"/>
    <w:basedOn w:val="1"/>
    <w:next w:val="1"/>
    <w:link w:val="107"/>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58">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1"/>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740</Words>
  <Characters>4224</Characters>
  <Lines>35</Lines>
  <Paragraphs>9</Paragraphs>
  <TotalTime>0</TotalTime>
  <ScaleCrop>false</ScaleCrop>
  <LinksUpToDate>false</LinksUpToDate>
  <CharactersWithSpaces>4955</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2023-11-01T08:29:33Z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