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第二事业部海亮项目螺纹钢</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TGJA-WZ-2023151</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2023年10月17日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2023年10月17日</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2、投标截止时间：</w:t>
      </w:r>
      <w:r>
        <w:rPr>
          <w:rFonts w:hint="eastAsia" w:ascii="仿宋" w:hAnsi="仿宋" w:eastAsia="仿宋" w:cs="仿宋"/>
          <w:sz w:val="24"/>
          <w:u w:val="single"/>
        </w:rPr>
        <w:t>2023年10月26日9:00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2023年10月26日9:00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2023年</w:t>
      </w:r>
      <w:r>
        <w:rPr>
          <w:rFonts w:hint="eastAsia" w:ascii="仿宋" w:hAnsi="仿宋" w:eastAsia="仿宋" w:cs="仿宋"/>
          <w:sz w:val="24"/>
          <w:u w:val="single"/>
        </w:rPr>
        <w:t>10月25日</w:t>
      </w:r>
      <w:r>
        <w:rPr>
          <w:rFonts w:hint="eastAsia" w:ascii="仿宋" w:hAnsi="仿宋" w:eastAsia="仿宋" w:cs="仿宋_GB2312"/>
          <w:sz w:val="24"/>
          <w:u w:val="single"/>
        </w:rPr>
        <w:t>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u w:val="single"/>
        </w:rPr>
        <w:t>伍仟元整</w:t>
      </w:r>
      <w:r>
        <w:rPr>
          <w:rFonts w:hint="eastAsia" w:ascii="仿宋" w:hAnsi="仿宋" w:eastAsia="仿宋" w:cs="仿宋_GB2312"/>
          <w:color w:val="000000"/>
          <w:sz w:val="24"/>
        </w:rPr>
        <w:t>；</w:t>
      </w:r>
      <w:r>
        <w:rPr>
          <w:rFonts w:hint="eastAsia" w:ascii="仿宋" w:hAnsi="仿宋" w:eastAsia="仿宋" w:cs="仿宋_GB2312"/>
          <w:sz w:val="24"/>
        </w:rPr>
        <w:t>（</w:t>
      </w:r>
      <w:r>
        <w:rPr>
          <w:rFonts w:hint="eastAsia" w:ascii="仿宋" w:hAnsi="仿宋" w:eastAsia="仿宋" w:cs="仿宋_GB2312"/>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铜陵铜冠建安公司第二事业部海亮项目螺纹钢TGJA-WZ-2023151投标保证金。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4、招标人与中标人签订合同后</w:t>
      </w:r>
      <w:r>
        <w:rPr>
          <w:rFonts w:hint="eastAsia" w:ascii="仿宋" w:hAnsi="仿宋" w:eastAsia="仿宋" w:cs="仿宋_GB2312"/>
          <w:sz w:val="24"/>
          <w:lang w:val="en-US" w:eastAsia="zh-CN"/>
        </w:rPr>
        <w:t>30</w:t>
      </w:r>
      <w:r>
        <w:rPr>
          <w:rFonts w:hint="eastAsia" w:ascii="仿宋" w:hAnsi="仿宋" w:eastAsia="仿宋" w:cs="仿宋_GB2312"/>
          <w:sz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2023年10月26日9:00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（1）材料质量要求</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sz w:val="24"/>
          <w:u w:val="single"/>
        </w:rPr>
        <w:t>符合国家最新标准技术要求和招标文件要求</w:t>
      </w:r>
      <w:r>
        <w:rPr>
          <w:rFonts w:hint="eastAsia" w:ascii="仿宋_GB2312" w:hAnsi="仿宋_GB2312" w:eastAsia="仿宋_GB2312" w:cs="仿宋_GB2312"/>
          <w:sz w:val="24"/>
          <w:u w:val="single"/>
        </w:rPr>
        <w:t>。</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铜陵市区。</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highlight w:val="green"/>
        </w:rPr>
      </w:pPr>
      <w:r>
        <w:rPr>
          <w:rFonts w:hint="eastAsia" w:ascii="仿宋" w:hAnsi="仿宋" w:eastAsia="仿宋" w:cs="仿宋_GB2312"/>
          <w:sz w:val="24"/>
        </w:rPr>
        <w:t>（1）</w:t>
      </w:r>
      <w:r>
        <w:rPr>
          <w:rFonts w:hint="eastAsia" w:ascii="仿宋" w:hAnsi="仿宋" w:eastAsia="仿宋" w:cs="仿宋_GB2312"/>
          <w:sz w:val="24"/>
          <w:u w:val="single"/>
        </w:rPr>
        <w:t>报价为含税</w:t>
      </w:r>
      <w:r>
        <w:rPr>
          <w:rFonts w:hint="eastAsia" w:ascii="仿宋" w:hAnsi="仿宋" w:eastAsia="仿宋" w:cs="仿宋_GB2312"/>
          <w:color w:val="000000"/>
          <w:sz w:val="24"/>
          <w:u w:val="single"/>
        </w:rPr>
        <w:t>含运费价</w:t>
      </w:r>
      <w:r>
        <w:rPr>
          <w:rFonts w:hint="eastAsia" w:ascii="仿宋" w:hAnsi="仿宋" w:eastAsia="仿宋" w:cs="仿宋_GB2312"/>
          <w:color w:val="000000"/>
          <w:sz w:val="24"/>
          <w:highlight w:val="none"/>
          <w:u w:val="single"/>
        </w:rPr>
        <w:t>含装货</w:t>
      </w:r>
      <w:r>
        <w:rPr>
          <w:rFonts w:hint="eastAsia" w:ascii="仿宋" w:hAnsi="仿宋" w:eastAsia="仿宋" w:cs="仿宋_GB2312"/>
          <w:color w:val="000000"/>
          <w:sz w:val="24"/>
          <w:u w:val="single"/>
        </w:rPr>
        <w:t>费一票制</w:t>
      </w:r>
      <w:r>
        <w:rPr>
          <w:rFonts w:hint="eastAsia" w:ascii="仿宋" w:hAnsi="仿宋" w:eastAsia="仿宋" w:cs="仿宋_GB2312"/>
          <w:sz w:val="24"/>
          <w:u w:val="single"/>
        </w:rPr>
        <w:t>（税率为13%）</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u w:val="single"/>
        </w:rPr>
        <w:t>后期价格不予调整</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供货数量的确认：以铜冠建安公司人员签字的送货单为准。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themeColor="text1"/>
          <w:sz w:val="24"/>
          <w:u w:val="single"/>
        </w:rPr>
        <w:t>合同签订后，</w:t>
      </w:r>
      <w:r>
        <w:rPr>
          <w:rFonts w:hint="eastAsia" w:ascii="仿宋" w:hAnsi="仿宋" w:eastAsia="仿宋" w:cs="仿宋"/>
          <w:color w:val="000000" w:themeColor="text1"/>
          <w:sz w:val="24"/>
          <w:u w:val="single"/>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货款以对公转账方式支付至供方对公账户，支付电汇或不超过合同总金额50%的6个月内银行电子承兑。</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rPr>
        <w:t>本次招标设置控制价，具体见第八章第4条。</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19"/>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1744" w:firstLineChars="8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rPr>
          <w:rFonts w:ascii="仿宋" w:hAnsi="仿宋" w:eastAsia="仿宋" w:cs="仿宋_GB2312"/>
          <w:b/>
          <w:sz w:val="36"/>
          <w:szCs w:val="36"/>
        </w:r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ascii="仿宋" w:hAnsi="仿宋" w:eastAsia="仿宋"/>
          <w:b/>
          <w:sz w:val="24"/>
        </w:rPr>
      </w:pPr>
      <w:r>
        <w:rPr>
          <w:rFonts w:hint="eastAsia" w:ascii="仿宋" w:hAnsi="仿宋" w:eastAsia="仿宋"/>
          <w:b/>
          <w:sz w:val="24"/>
        </w:rPr>
        <w:t>报价单（TGJA-WZ-2023151）</w:t>
      </w:r>
    </w:p>
    <w:tbl>
      <w:tblPr>
        <w:tblStyle w:val="46"/>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748"/>
        <w:gridCol w:w="1036"/>
        <w:gridCol w:w="564"/>
        <w:gridCol w:w="1155"/>
        <w:gridCol w:w="1868"/>
        <w:gridCol w:w="2429"/>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443" w:type="dxa"/>
            <w:vAlign w:val="center"/>
          </w:tcPr>
          <w:p>
            <w:pPr>
              <w:jc w:val="center"/>
              <w:rPr>
                <w:rFonts w:ascii="仿宋" w:hAnsi="仿宋" w:eastAsia="仿宋"/>
                <w:sz w:val="24"/>
              </w:rPr>
            </w:pPr>
            <w:r>
              <w:rPr>
                <w:rFonts w:hint="eastAsia" w:ascii="仿宋" w:hAnsi="仿宋" w:eastAsia="仿宋" w:cs="仿宋"/>
                <w:sz w:val="24"/>
              </w:rPr>
              <w:t>序号</w:t>
            </w:r>
          </w:p>
        </w:tc>
        <w:tc>
          <w:tcPr>
            <w:tcW w:w="1530" w:type="dxa"/>
            <w:vAlign w:val="center"/>
          </w:tcPr>
          <w:p>
            <w:pPr>
              <w:jc w:val="center"/>
              <w:rPr>
                <w:rFonts w:ascii="仿宋" w:hAnsi="仿宋" w:eastAsia="仿宋"/>
                <w:sz w:val="24"/>
              </w:rPr>
            </w:pPr>
            <w:r>
              <w:rPr>
                <w:rFonts w:hint="eastAsia" w:ascii="仿宋" w:hAnsi="仿宋" w:eastAsia="仿宋" w:cs="仿宋"/>
                <w:sz w:val="24"/>
              </w:rPr>
              <w:t>物料名称</w:t>
            </w:r>
          </w:p>
        </w:tc>
        <w:tc>
          <w:tcPr>
            <w:tcW w:w="1748" w:type="dxa"/>
            <w:vAlign w:val="center"/>
          </w:tcPr>
          <w:p>
            <w:pPr>
              <w:jc w:val="center"/>
              <w:rPr>
                <w:rFonts w:ascii="仿宋" w:hAnsi="仿宋" w:eastAsia="仿宋"/>
                <w:sz w:val="24"/>
              </w:rPr>
            </w:pPr>
            <w:r>
              <w:rPr>
                <w:rFonts w:hint="eastAsia" w:ascii="仿宋" w:hAnsi="仿宋" w:eastAsia="仿宋" w:cs="仿宋"/>
                <w:sz w:val="24"/>
              </w:rPr>
              <w:t>型号规格</w:t>
            </w:r>
          </w:p>
        </w:tc>
        <w:tc>
          <w:tcPr>
            <w:tcW w:w="1036" w:type="dxa"/>
            <w:vAlign w:val="center"/>
          </w:tcPr>
          <w:p>
            <w:pPr>
              <w:jc w:val="center"/>
              <w:rPr>
                <w:rFonts w:ascii="仿宋" w:hAnsi="仿宋" w:eastAsia="仿宋"/>
                <w:sz w:val="24"/>
              </w:rPr>
            </w:pPr>
            <w:r>
              <w:rPr>
                <w:rFonts w:hint="eastAsia" w:ascii="仿宋" w:hAnsi="仿宋" w:eastAsia="仿宋" w:cs="仿宋"/>
                <w:sz w:val="24"/>
              </w:rPr>
              <w:t>单位</w:t>
            </w:r>
          </w:p>
        </w:tc>
        <w:tc>
          <w:tcPr>
            <w:tcW w:w="1719" w:type="dxa"/>
            <w:gridSpan w:val="2"/>
            <w:vAlign w:val="center"/>
          </w:tcPr>
          <w:p>
            <w:pPr>
              <w:jc w:val="center"/>
              <w:rPr>
                <w:rFonts w:ascii="仿宋" w:hAnsi="仿宋" w:eastAsia="仿宋"/>
                <w:sz w:val="24"/>
              </w:rPr>
            </w:pPr>
            <w:r>
              <w:rPr>
                <w:rFonts w:hint="eastAsia" w:ascii="仿宋" w:hAnsi="仿宋" w:eastAsia="仿宋" w:cs="仿宋"/>
                <w:sz w:val="24"/>
              </w:rPr>
              <w:t>数量</w:t>
            </w:r>
          </w:p>
        </w:tc>
        <w:tc>
          <w:tcPr>
            <w:tcW w:w="1868" w:type="dxa"/>
            <w:vAlign w:val="center"/>
          </w:tcPr>
          <w:p>
            <w:pPr>
              <w:jc w:val="center"/>
              <w:rPr>
                <w:rFonts w:ascii="仿宋" w:hAnsi="仿宋" w:eastAsia="仿宋"/>
                <w:sz w:val="24"/>
              </w:rPr>
            </w:pPr>
            <w:r>
              <w:rPr>
                <w:rFonts w:hint="eastAsia" w:ascii="仿宋" w:hAnsi="仿宋" w:eastAsia="仿宋" w:cs="仿宋"/>
                <w:sz w:val="24"/>
              </w:rPr>
              <w:t>单价＊</w:t>
            </w:r>
          </w:p>
        </w:tc>
        <w:tc>
          <w:tcPr>
            <w:tcW w:w="2429" w:type="dxa"/>
            <w:vAlign w:val="center"/>
          </w:tcPr>
          <w:p>
            <w:pPr>
              <w:jc w:val="center"/>
              <w:rPr>
                <w:rFonts w:ascii="仿宋" w:hAnsi="仿宋" w:eastAsia="仿宋"/>
                <w:sz w:val="24"/>
              </w:rPr>
            </w:pPr>
            <w:r>
              <w:rPr>
                <w:rFonts w:hint="eastAsia" w:ascii="仿宋" w:hAnsi="仿宋" w:eastAsia="仿宋" w:cs="仿宋"/>
                <w:sz w:val="24"/>
              </w:rPr>
              <w:t>总价＊</w:t>
            </w: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税率（注明税率及是否为增值税专业发票）＊</w:t>
            </w:r>
          </w:p>
        </w:tc>
        <w:tc>
          <w:tcPr>
            <w:tcW w:w="1875" w:type="dxa"/>
            <w:vAlign w:val="center"/>
          </w:tcPr>
          <w:p>
            <w:pPr>
              <w:jc w:val="center"/>
              <w:rPr>
                <w:rFonts w:ascii="仿宋" w:hAnsi="仿宋" w:eastAsia="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43" w:type="dxa"/>
            <w:vAlign w:val="center"/>
          </w:tcPr>
          <w:p>
            <w:pPr>
              <w:jc w:val="center"/>
              <w:rPr>
                <w:rFonts w:ascii="仿宋" w:hAnsi="仿宋" w:eastAsia="仿宋"/>
                <w:sz w:val="24"/>
              </w:rPr>
            </w:pPr>
            <w:r>
              <w:rPr>
                <w:rFonts w:hint="eastAsia" w:ascii="仿宋" w:hAnsi="仿宋" w:eastAsia="仿宋" w:cs="仿宋"/>
                <w:sz w:val="24"/>
              </w:rPr>
              <w:t>1</w:t>
            </w:r>
          </w:p>
        </w:tc>
        <w:tc>
          <w:tcPr>
            <w:tcW w:w="1530" w:type="dxa"/>
            <w:vAlign w:val="center"/>
          </w:tcPr>
          <w:p>
            <w:pPr>
              <w:jc w:val="center"/>
              <w:rPr>
                <w:rFonts w:ascii="仿宋" w:hAnsi="仿宋" w:eastAsia="仿宋"/>
                <w:sz w:val="24"/>
              </w:rPr>
            </w:pPr>
            <w:r>
              <w:rPr>
                <w:rFonts w:hint="eastAsia" w:ascii="仿宋" w:hAnsi="仿宋" w:eastAsia="仿宋"/>
                <w:sz w:val="24"/>
              </w:rPr>
              <w:t>螺纹钢</w:t>
            </w:r>
          </w:p>
        </w:tc>
        <w:tc>
          <w:tcPr>
            <w:tcW w:w="1748"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sz w:val="24"/>
              </w:rPr>
              <w:t>HRB400，</w:t>
            </w:r>
            <w:r>
              <w:rPr>
                <w:rFonts w:hint="eastAsia" w:ascii="仿宋" w:hAnsi="仿宋" w:eastAsia="仿宋" w:cs="仿宋"/>
                <w:sz w:val="24"/>
              </w:rPr>
              <w:t>φ12</w:t>
            </w:r>
          </w:p>
        </w:tc>
        <w:tc>
          <w:tcPr>
            <w:tcW w:w="1036"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ascii="仿宋" w:hAnsi="仿宋" w:eastAsia="仿宋"/>
                <w:sz w:val="24"/>
              </w:rPr>
            </w:pPr>
            <w:r>
              <w:rPr>
                <w:rFonts w:hint="eastAsia" w:ascii="仿宋" w:hAnsi="仿宋" w:eastAsia="仿宋" w:cs="仿宋"/>
                <w:sz w:val="24"/>
              </w:rPr>
              <w:t>17.5</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43" w:type="dxa"/>
            <w:vAlign w:val="center"/>
          </w:tcPr>
          <w:p>
            <w:pPr>
              <w:jc w:val="center"/>
              <w:rPr>
                <w:rFonts w:ascii="仿宋" w:hAnsi="仿宋" w:eastAsia="仿宋" w:cs="仿宋"/>
                <w:sz w:val="24"/>
              </w:rPr>
            </w:pPr>
            <w:r>
              <w:rPr>
                <w:rFonts w:hint="eastAsia" w:ascii="仿宋" w:hAnsi="仿宋" w:eastAsia="仿宋" w:cs="仿宋"/>
                <w:sz w:val="24"/>
              </w:rPr>
              <w:t>2</w:t>
            </w:r>
          </w:p>
        </w:tc>
        <w:tc>
          <w:tcPr>
            <w:tcW w:w="1530" w:type="dxa"/>
            <w:vAlign w:val="center"/>
          </w:tcPr>
          <w:p>
            <w:pPr>
              <w:jc w:val="center"/>
              <w:rPr>
                <w:rFonts w:ascii="仿宋" w:hAnsi="仿宋" w:eastAsia="仿宋"/>
                <w:sz w:val="24"/>
              </w:rPr>
            </w:pPr>
            <w:r>
              <w:rPr>
                <w:rFonts w:hint="eastAsia" w:ascii="仿宋" w:hAnsi="仿宋" w:eastAsia="仿宋"/>
                <w:sz w:val="24"/>
              </w:rPr>
              <w:t>螺纹钢</w:t>
            </w:r>
          </w:p>
        </w:tc>
        <w:tc>
          <w:tcPr>
            <w:tcW w:w="1748"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HRB400，</w:t>
            </w:r>
            <w:r>
              <w:rPr>
                <w:rFonts w:hint="eastAsia" w:ascii="仿宋" w:hAnsi="仿宋" w:eastAsia="仿宋" w:cs="仿宋"/>
                <w:sz w:val="24"/>
              </w:rPr>
              <w:t>φ14</w:t>
            </w: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2.1</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43" w:type="dxa"/>
            <w:vAlign w:val="center"/>
          </w:tcPr>
          <w:p>
            <w:pPr>
              <w:jc w:val="center"/>
              <w:rPr>
                <w:rFonts w:ascii="仿宋" w:hAnsi="仿宋" w:eastAsia="仿宋" w:cs="仿宋"/>
                <w:sz w:val="24"/>
              </w:rPr>
            </w:pPr>
            <w:r>
              <w:rPr>
                <w:rFonts w:hint="eastAsia" w:ascii="仿宋" w:hAnsi="仿宋" w:eastAsia="仿宋" w:cs="仿宋"/>
                <w:sz w:val="24"/>
              </w:rPr>
              <w:t>3</w:t>
            </w:r>
          </w:p>
        </w:tc>
        <w:tc>
          <w:tcPr>
            <w:tcW w:w="1530" w:type="dxa"/>
            <w:vAlign w:val="center"/>
          </w:tcPr>
          <w:p>
            <w:pPr>
              <w:jc w:val="center"/>
              <w:rPr>
                <w:rFonts w:ascii="仿宋" w:hAnsi="仿宋" w:eastAsia="仿宋"/>
                <w:sz w:val="24"/>
              </w:rPr>
            </w:pPr>
            <w:r>
              <w:rPr>
                <w:rFonts w:hint="eastAsia" w:ascii="仿宋" w:hAnsi="仿宋" w:eastAsia="仿宋"/>
                <w:sz w:val="24"/>
              </w:rPr>
              <w:t>螺纹钢</w:t>
            </w:r>
          </w:p>
        </w:tc>
        <w:tc>
          <w:tcPr>
            <w:tcW w:w="1748"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HRB400，</w:t>
            </w:r>
            <w:r>
              <w:rPr>
                <w:rFonts w:hint="eastAsia" w:ascii="仿宋" w:hAnsi="仿宋" w:eastAsia="仿宋" w:cs="仿宋"/>
                <w:sz w:val="24"/>
              </w:rPr>
              <w:t>φ16</w:t>
            </w: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8.5</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43" w:type="dxa"/>
            <w:vAlign w:val="center"/>
          </w:tcPr>
          <w:p>
            <w:pPr>
              <w:jc w:val="center"/>
              <w:rPr>
                <w:rFonts w:ascii="仿宋" w:hAnsi="仿宋" w:eastAsia="仿宋" w:cs="仿宋"/>
                <w:sz w:val="24"/>
              </w:rPr>
            </w:pPr>
            <w:r>
              <w:rPr>
                <w:rFonts w:hint="eastAsia" w:ascii="仿宋" w:hAnsi="仿宋" w:eastAsia="仿宋" w:cs="仿宋"/>
                <w:sz w:val="24"/>
              </w:rPr>
              <w:t>4</w:t>
            </w:r>
          </w:p>
        </w:tc>
        <w:tc>
          <w:tcPr>
            <w:tcW w:w="1530" w:type="dxa"/>
            <w:vAlign w:val="center"/>
          </w:tcPr>
          <w:p>
            <w:pPr>
              <w:jc w:val="center"/>
              <w:rPr>
                <w:rFonts w:ascii="仿宋" w:hAnsi="仿宋" w:eastAsia="仿宋"/>
                <w:sz w:val="24"/>
              </w:rPr>
            </w:pPr>
            <w:r>
              <w:rPr>
                <w:rFonts w:hint="eastAsia" w:ascii="仿宋" w:hAnsi="仿宋" w:eastAsia="仿宋"/>
                <w:sz w:val="24"/>
              </w:rPr>
              <w:t>螺纹钢</w:t>
            </w:r>
          </w:p>
        </w:tc>
        <w:tc>
          <w:tcPr>
            <w:tcW w:w="1748"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HRB400，</w:t>
            </w:r>
            <w:r>
              <w:rPr>
                <w:rFonts w:hint="eastAsia" w:ascii="仿宋" w:hAnsi="仿宋" w:eastAsia="仿宋" w:cs="仿宋"/>
                <w:sz w:val="24"/>
              </w:rPr>
              <w:t>φ20</w:t>
            </w: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18.5</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43" w:type="dxa"/>
            <w:vAlign w:val="center"/>
          </w:tcPr>
          <w:p>
            <w:pPr>
              <w:jc w:val="center"/>
              <w:rPr>
                <w:rFonts w:ascii="仿宋" w:hAnsi="仿宋" w:eastAsia="仿宋" w:cs="仿宋"/>
                <w:sz w:val="24"/>
              </w:rPr>
            </w:pPr>
            <w:r>
              <w:rPr>
                <w:rFonts w:hint="eastAsia" w:ascii="仿宋" w:hAnsi="仿宋" w:eastAsia="仿宋" w:cs="仿宋"/>
                <w:sz w:val="24"/>
              </w:rPr>
              <w:t>5</w:t>
            </w:r>
          </w:p>
        </w:tc>
        <w:tc>
          <w:tcPr>
            <w:tcW w:w="1530" w:type="dxa"/>
            <w:vAlign w:val="center"/>
          </w:tcPr>
          <w:p>
            <w:pPr>
              <w:jc w:val="center"/>
              <w:rPr>
                <w:rFonts w:ascii="仿宋" w:hAnsi="仿宋" w:eastAsia="仿宋"/>
                <w:sz w:val="24"/>
              </w:rPr>
            </w:pPr>
            <w:r>
              <w:rPr>
                <w:rFonts w:hint="eastAsia" w:ascii="仿宋" w:hAnsi="仿宋" w:eastAsia="仿宋"/>
                <w:sz w:val="24"/>
              </w:rPr>
              <w:t>螺纹钢</w:t>
            </w:r>
          </w:p>
        </w:tc>
        <w:tc>
          <w:tcPr>
            <w:tcW w:w="1748"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HRB400，</w:t>
            </w:r>
            <w:r>
              <w:rPr>
                <w:rFonts w:hint="eastAsia" w:ascii="仿宋" w:hAnsi="仿宋" w:eastAsia="仿宋" w:cs="仿宋"/>
                <w:sz w:val="24"/>
              </w:rPr>
              <w:t>φ22</w:t>
            </w: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9</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43" w:type="dxa"/>
            <w:vAlign w:val="center"/>
          </w:tcPr>
          <w:p>
            <w:pPr>
              <w:jc w:val="center"/>
              <w:rPr>
                <w:rFonts w:ascii="仿宋" w:hAnsi="仿宋" w:eastAsia="仿宋" w:cs="仿宋"/>
                <w:sz w:val="24"/>
              </w:rPr>
            </w:pPr>
            <w:r>
              <w:rPr>
                <w:rFonts w:hint="eastAsia" w:ascii="仿宋" w:hAnsi="仿宋" w:eastAsia="仿宋" w:cs="仿宋"/>
                <w:sz w:val="24"/>
              </w:rPr>
              <w:t>6</w:t>
            </w:r>
          </w:p>
        </w:tc>
        <w:tc>
          <w:tcPr>
            <w:tcW w:w="1530" w:type="dxa"/>
            <w:vAlign w:val="center"/>
          </w:tcPr>
          <w:p>
            <w:pPr>
              <w:jc w:val="center"/>
              <w:rPr>
                <w:rFonts w:ascii="仿宋" w:hAnsi="仿宋" w:eastAsia="仿宋"/>
                <w:sz w:val="24"/>
              </w:rPr>
            </w:pPr>
            <w:r>
              <w:rPr>
                <w:rFonts w:hint="eastAsia" w:ascii="仿宋" w:hAnsi="仿宋" w:eastAsia="仿宋"/>
                <w:sz w:val="24"/>
              </w:rPr>
              <w:t>螺纹钢</w:t>
            </w:r>
          </w:p>
        </w:tc>
        <w:tc>
          <w:tcPr>
            <w:tcW w:w="1748"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HRB400，</w:t>
            </w:r>
            <w:r>
              <w:rPr>
                <w:rFonts w:hint="eastAsia" w:ascii="仿宋" w:hAnsi="仿宋" w:eastAsia="仿宋" w:cs="仿宋"/>
                <w:sz w:val="24"/>
              </w:rPr>
              <w:t>φ25</w:t>
            </w:r>
          </w:p>
        </w:tc>
        <w:tc>
          <w:tcPr>
            <w:tcW w:w="1036"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吨</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5</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43" w:type="dxa"/>
            <w:vAlign w:val="center"/>
          </w:tcPr>
          <w:p>
            <w:pPr>
              <w:jc w:val="center"/>
              <w:rPr>
                <w:rFonts w:ascii="仿宋" w:hAnsi="仿宋" w:eastAsia="仿宋"/>
                <w:sz w:val="24"/>
              </w:rPr>
            </w:pPr>
          </w:p>
        </w:tc>
        <w:tc>
          <w:tcPr>
            <w:tcW w:w="1530" w:type="dxa"/>
            <w:vAlign w:val="center"/>
          </w:tcPr>
          <w:p>
            <w:pPr>
              <w:jc w:val="center"/>
              <w:rPr>
                <w:sz w:val="24"/>
              </w:rPr>
            </w:pPr>
            <w:r>
              <w:rPr>
                <w:rFonts w:hint="eastAsia" w:ascii="仿宋" w:hAnsi="仿宋" w:eastAsia="仿宋" w:cs="仿宋"/>
                <w:sz w:val="24"/>
              </w:rPr>
              <w:t>合计＊</w:t>
            </w:r>
          </w:p>
        </w:tc>
        <w:tc>
          <w:tcPr>
            <w:tcW w:w="1748" w:type="dxa"/>
            <w:vAlign w:val="center"/>
          </w:tcPr>
          <w:p>
            <w:pPr>
              <w:jc w:val="center"/>
              <w:rPr>
                <w:sz w:val="24"/>
              </w:rPr>
            </w:pPr>
          </w:p>
        </w:tc>
        <w:tc>
          <w:tcPr>
            <w:tcW w:w="1036" w:type="dxa"/>
            <w:vAlign w:val="center"/>
          </w:tcPr>
          <w:p>
            <w:pPr>
              <w:jc w:val="center"/>
              <w:rPr>
                <w:sz w:val="24"/>
              </w:rPr>
            </w:pPr>
          </w:p>
        </w:tc>
        <w:tc>
          <w:tcPr>
            <w:tcW w:w="1719" w:type="dxa"/>
            <w:gridSpan w:val="2"/>
            <w:vAlign w:val="center"/>
          </w:tcPr>
          <w:p>
            <w:pPr>
              <w:jc w:val="center"/>
              <w:rPr>
                <w:sz w:val="24"/>
              </w:rPr>
            </w:pPr>
          </w:p>
        </w:tc>
        <w:tc>
          <w:tcPr>
            <w:tcW w:w="1868" w:type="dxa"/>
            <w:vAlign w:val="center"/>
          </w:tcPr>
          <w:p>
            <w:pPr>
              <w:jc w:val="center"/>
              <w:rPr>
                <w:sz w:val="24"/>
              </w:rPr>
            </w:pPr>
          </w:p>
        </w:tc>
        <w:tc>
          <w:tcPr>
            <w:tcW w:w="2429" w:type="dxa"/>
            <w:vAlign w:val="center"/>
          </w:tcPr>
          <w:p>
            <w:pPr>
              <w:jc w:val="center"/>
              <w:rPr>
                <w:sz w:val="24"/>
              </w:rPr>
            </w:pPr>
          </w:p>
        </w:tc>
        <w:tc>
          <w:tcPr>
            <w:tcW w:w="2795" w:type="dxa"/>
            <w:gridSpan w:val="3"/>
            <w:vAlign w:val="center"/>
          </w:tcPr>
          <w:p>
            <w:pPr>
              <w:jc w:val="center"/>
              <w:rPr>
                <w:sz w:val="24"/>
              </w:rPr>
            </w:pPr>
          </w:p>
        </w:tc>
        <w:tc>
          <w:tcPr>
            <w:tcW w:w="187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1544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sz w:val="24"/>
              </w:rPr>
            </w:pPr>
            <w:r>
              <w:rPr>
                <w:rFonts w:hint="eastAsia" w:ascii="仿宋" w:hAnsi="仿宋" w:eastAsia="仿宋" w:cs="仿宋"/>
                <w:sz w:val="24"/>
              </w:rPr>
              <w:t>3、本次报价数量为项目预估量，具体数量以实际结算量为准。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321" w:type="dxa"/>
            <w:gridSpan w:val="5"/>
            <w:vMerge w:val="restart"/>
            <w:vAlign w:val="center"/>
          </w:tcPr>
          <w:p>
            <w:pPr>
              <w:rPr>
                <w:rFonts w:ascii="仿宋" w:hAnsi="仿宋" w:eastAsia="仿宋"/>
                <w:sz w:val="24"/>
              </w:rPr>
            </w:pPr>
            <w:r>
              <w:rPr>
                <w:rFonts w:hint="eastAsia" w:ascii="仿宋" w:hAnsi="仿宋" w:eastAsia="仿宋" w:cs="仿宋"/>
                <w:sz w:val="24"/>
              </w:rPr>
              <w:t>投标单位（公章）</w:t>
            </w: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3712"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5321" w:type="dxa"/>
            <w:gridSpan w:val="5"/>
            <w:vMerge w:val="continue"/>
            <w:vAlign w:val="center"/>
          </w:tcPr>
          <w:p>
            <w:pPr>
              <w:rPr>
                <w:rFonts w:ascii="仿宋" w:hAnsi="仿宋" w:eastAsia="仿宋"/>
                <w:sz w:val="24"/>
              </w:rPr>
            </w:pP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联系方式</w:t>
            </w:r>
          </w:p>
        </w:tc>
        <w:tc>
          <w:tcPr>
            <w:tcW w:w="1517" w:type="dxa"/>
            <w:vAlign w:val="center"/>
          </w:tcPr>
          <w:p>
            <w:pPr>
              <w:jc w:val="center"/>
              <w:rPr>
                <w:rFonts w:ascii="仿宋" w:hAnsi="仿宋" w:eastAsia="仿宋"/>
                <w:sz w:val="24"/>
              </w:rPr>
            </w:pPr>
            <w:r>
              <w:rPr>
                <w:rFonts w:hint="eastAsia" w:ascii="仿宋" w:hAnsi="仿宋" w:eastAsia="仿宋" w:cs="仿宋"/>
                <w:sz w:val="24"/>
              </w:rPr>
              <w:t>电话</w:t>
            </w:r>
          </w:p>
        </w:tc>
        <w:tc>
          <w:tcPr>
            <w:tcW w:w="2195" w:type="dxa"/>
            <w:gridSpan w:val="2"/>
            <w:vAlign w:val="center"/>
          </w:tcPr>
          <w:p>
            <w:pPr>
              <w:rPr>
                <w:sz w:val="24"/>
              </w:rPr>
            </w:pPr>
          </w:p>
        </w:tc>
      </w:tr>
    </w:tbl>
    <w:p>
      <w:pPr>
        <w:spacing w:line="400" w:lineRule="exact"/>
        <w:rPr>
          <w:rFonts w:ascii="仿宋" w:hAnsi="仿宋" w:eastAsia="仿宋" w:cs="仿宋_GB2312"/>
          <w:b/>
          <w:sz w:val="10"/>
          <w:szCs w:val="10"/>
        </w:rPr>
      </w:pPr>
      <w:bookmarkStart w:id="0" w:name="_GoBack"/>
      <w:bookmarkEnd w:id="0"/>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w:pict>
        <v:shape id="文本框 2051" o:spid="_x0000_s2049"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5</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pict>
        <v:shape id="_x0000_i1025" o:spt="75" alt="tlys" type="#_x0000_t75" style="height:16.3pt;width:17.65pt;" filled="f" o:preferrelative="t" stroked="f" coordsize="21600,21600">
          <v:path/>
          <v:fill on="f" focussize="0,0"/>
          <v:stroke on="f" joinstyle="miter"/>
          <v:imagedata r:id="rId1" o:title="tlys"/>
          <o:lock v:ext="edit" aspectratio="t"/>
          <w10:wrap type="none"/>
          <w10:anchorlock/>
        </v:shape>
      </w:pict>
    </w:r>
    <w:r>
      <w:rPr>
        <w:rFonts w:hint="eastAsia"/>
        <w:u w:val="single"/>
      </w:rPr>
      <w:t xml:space="preserve">铜陵有色金属集团铜冠建筑安装股份有限公司　　　　　　　　　 </w:t>
    </w:r>
    <w:r>
      <w:rPr>
        <w:rFonts w:hint="eastAsia"/>
        <w:u w:val="single"/>
        <w:lang w:val="en-US" w:eastAsia="zh-CN"/>
      </w:rPr>
      <w:t xml:space="preserve">        </w:t>
    </w:r>
    <w:r>
      <w:rPr>
        <w:rFonts w:hint="eastAsia"/>
        <w:u w:val="single"/>
      </w:rPr>
      <w:t xml:space="preserve">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pict>
        <v:shape id="_x0000_i1026" o:spt="75" alt="tlys" type="#_x0000_t75" style="height:16.3pt;width:17.65pt;" filled="f" o:preferrelative="t" stroked="f" coordsize="21600,21600">
          <v:path/>
          <v:fill on="f" focussize="0,0"/>
          <v:stroke on="f" joinstyle="miter"/>
          <v:imagedata r:id="rId1" o:title="tlys"/>
          <o:lock v:ext="edit" aspectratio="t"/>
          <w10:wrap type="none"/>
          <w10:anchorlock/>
        </v:shape>
      </w:pict>
    </w:r>
    <w:r>
      <w:rPr>
        <w:rFonts w:hint="eastAsia"/>
        <w:u w:val="single"/>
      </w:rPr>
      <w:t xml:space="preserve">铜陵有色金属集团铜冠建筑安装股份有限公司           </w:t>
    </w:r>
    <w:r>
      <w:rPr>
        <w:rFonts w:hint="eastAsia"/>
        <w:u w:val="single"/>
        <w:lang w:val="en-US" w:eastAsia="zh-CN"/>
      </w:rPr>
      <w:t xml:space="preserve">  </w:t>
    </w:r>
    <w:r>
      <w:rPr>
        <w:rFonts w:hint="eastAsia"/>
        <w:u w:val="single"/>
      </w:rPr>
      <w:t>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0FC2566F"/>
    <w:rsid w:val="10181623"/>
    <w:rsid w:val="107E735A"/>
    <w:rsid w:val="12A820AD"/>
    <w:rsid w:val="15737884"/>
    <w:rsid w:val="165C0F7F"/>
    <w:rsid w:val="17D86D23"/>
    <w:rsid w:val="17F4775E"/>
    <w:rsid w:val="18AF15FD"/>
    <w:rsid w:val="19E94006"/>
    <w:rsid w:val="1BBF797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DBC53C0"/>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3F14A51"/>
    <w:rsid w:val="441344E9"/>
    <w:rsid w:val="44842956"/>
    <w:rsid w:val="44B922E9"/>
    <w:rsid w:val="45086E27"/>
    <w:rsid w:val="465E02D2"/>
    <w:rsid w:val="46783742"/>
    <w:rsid w:val="48AA739D"/>
    <w:rsid w:val="48FC1957"/>
    <w:rsid w:val="499D4ACB"/>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6B25202"/>
    <w:rsid w:val="69021DF3"/>
    <w:rsid w:val="69AD4D95"/>
    <w:rsid w:val="6A1720C7"/>
    <w:rsid w:val="6A315ABB"/>
    <w:rsid w:val="6A43654D"/>
    <w:rsid w:val="6A87598F"/>
    <w:rsid w:val="6E1970B9"/>
    <w:rsid w:val="6F0109C8"/>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19"/>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48"/>
    <w:qFormat/>
    <w:uiPriority w:val="0"/>
    <w:pPr>
      <w:shd w:val="clear" w:color="auto" w:fill="000080"/>
    </w:pPr>
  </w:style>
  <w:style w:type="paragraph" w:styleId="16">
    <w:name w:val="annotation text"/>
    <w:basedOn w:val="1"/>
    <w:link w:val="128"/>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135"/>
    <w:qFormat/>
    <w:uiPriority w:val="0"/>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18"/>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5"/>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5"/>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0"/>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2"/>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4"/>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5"/>
    <w:qFormat/>
    <w:uiPriority w:val="0"/>
    <w:rPr>
      <w:rFonts w:ascii="Courier New" w:hAnsi="Courier New" w:eastAsia="宋体"/>
      <w:kern w:val="2"/>
      <w:sz w:val="21"/>
      <w:lang w:val="en-US" w:eastAsia="zh-CN" w:bidi="ar-SA"/>
    </w:rPr>
  </w:style>
  <w:style w:type="character" w:customStyle="1" w:styleId="119">
    <w:name w:val="正文缩进 Char"/>
    <w:link w:val="12"/>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1"/>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6"/>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8"/>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5"/>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740</Words>
  <Characters>4224</Characters>
  <Lines>35</Lines>
  <Paragraphs>9</Paragraphs>
  <TotalTime>12</TotalTime>
  <ScaleCrop>false</ScaleCrop>
  <LinksUpToDate>false</LinksUpToDate>
  <CharactersWithSpaces>4955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2023-10-18T02:34:32Z</cp:lastPrinted>
  <dcterms:modified xsi:type="dcterms:W3CDTF">2023-10-18T02:36:46Z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