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铜陵铜冠建安公司第二事业部</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全鑫矿业项目矿渣、中粗砂材料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139</w:t>
      </w: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highlight w:val="none"/>
          <w:u w:val="single"/>
          <w:lang w:eastAsia="zh-CN"/>
        </w:rPr>
        <w:t>壹</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投标文件内附汇款凭证复印件。如投标人在铜冠建安公司（含</w:t>
      </w:r>
      <w:r>
        <w:rPr>
          <w:rFonts w:hint="eastAsia" w:ascii="仿宋" w:hAnsi="仿宋" w:eastAsia="仿宋" w:cs="仿宋_GB2312"/>
          <w:sz w:val="28"/>
          <w:szCs w:val="28"/>
          <w:u w:val="single"/>
        </w:rPr>
        <w:t>各分子公司）有超过投标保证金数额的应收欠款，可以出具承诺书的方式将足额应收欠款转为投标保证金，</w:t>
      </w:r>
      <w:bookmarkStart w:id="0" w:name="_GoBack"/>
      <w:bookmarkEnd w:id="0"/>
      <w:r>
        <w:rPr>
          <w:rFonts w:hint="eastAsia" w:ascii="仿宋" w:hAnsi="仿宋" w:eastAsia="仿宋" w:cs="仿宋_GB2312"/>
          <w:sz w:val="28"/>
          <w:szCs w:val="28"/>
          <w:u w:val="single"/>
        </w:rPr>
        <w:t>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全鑫矿业项目矿渣、中粗砂</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139</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收货人：高才华，</w:t>
      </w:r>
      <w:r>
        <w:rPr>
          <w:rFonts w:hint="eastAsia" w:ascii="仿宋" w:hAnsi="仿宋" w:eastAsia="仿宋" w:cs="仿宋_GB2312"/>
          <w:sz w:val="28"/>
          <w:szCs w:val="28"/>
          <w:lang w:val="en-US" w:eastAsia="zh-CN"/>
        </w:rPr>
        <w:t>13955922717</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3139</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50"/>
        <w:gridCol w:w="3083"/>
        <w:gridCol w:w="1125"/>
        <w:gridCol w:w="1725"/>
        <w:gridCol w:w="1462"/>
        <w:gridCol w:w="16"/>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53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45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083"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1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72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462"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rPr>
              <w:t>含税含运费单价</w:t>
            </w:r>
            <w:r>
              <w:rPr>
                <w:rFonts w:hint="eastAsia" w:ascii="仿宋" w:hAnsi="仿宋" w:eastAsia="仿宋"/>
                <w:color w:val="FF0000"/>
                <w:sz w:val="24"/>
              </w:rPr>
              <w:t>*</w:t>
            </w:r>
          </w:p>
        </w:tc>
        <w:tc>
          <w:tcPr>
            <w:tcW w:w="146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含税含运费</w:t>
            </w:r>
            <w:r>
              <w:rPr>
                <w:rFonts w:hint="eastAsia" w:ascii="仿宋" w:hAnsi="仿宋" w:eastAsia="仿宋"/>
                <w:sz w:val="24"/>
                <w:lang w:eastAsia="zh-CN"/>
              </w:rPr>
              <w:t>金额</w:t>
            </w:r>
            <w:r>
              <w:rPr>
                <w:rFonts w:hint="eastAsia" w:ascii="仿宋" w:hAnsi="仿宋" w:eastAsia="仿宋"/>
                <w:color w:val="FF0000"/>
                <w:sz w:val="24"/>
              </w:rPr>
              <w:t>*</w:t>
            </w:r>
          </w:p>
        </w:tc>
        <w:tc>
          <w:tcPr>
            <w:tcW w:w="1034" w:type="dxa"/>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税率</w:t>
            </w:r>
            <w:r>
              <w:rPr>
                <w:rFonts w:hint="eastAsia" w:ascii="仿宋" w:hAnsi="仿宋" w:eastAsia="仿宋" w:cs="仿宋"/>
                <w:color w:val="FF0000"/>
                <w:sz w:val="24"/>
              </w:rPr>
              <w:t>*</w:t>
            </w:r>
          </w:p>
        </w:tc>
        <w:tc>
          <w:tcPr>
            <w:tcW w:w="1666" w:type="dxa"/>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是否为增值税专用发票</w:t>
            </w:r>
            <w:r>
              <w:rPr>
                <w:rFonts w:hint="eastAsia" w:ascii="仿宋" w:hAnsi="仿宋" w:eastAsia="仿宋" w:cs="仿宋"/>
                <w:color w:val="FF0000"/>
                <w:sz w:val="24"/>
              </w:rPr>
              <w:t>*</w:t>
            </w:r>
          </w:p>
        </w:tc>
        <w:tc>
          <w:tcPr>
            <w:tcW w:w="1962" w:type="dxa"/>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矿渣</w:t>
            </w:r>
          </w:p>
        </w:tc>
        <w:tc>
          <w:tcPr>
            <w:tcW w:w="3083" w:type="dxa"/>
            <w:vAlign w:val="center"/>
          </w:tcPr>
          <w:p>
            <w:pPr>
              <w:spacing w:line="400" w:lineRule="exact"/>
              <w:jc w:val="center"/>
              <w:rPr>
                <w:rFonts w:hint="default" w:ascii="仿宋" w:hAnsi="仿宋" w:eastAsia="仿宋"/>
                <w:sz w:val="24"/>
                <w:lang w:val="en-US" w:eastAsia="zh-CN"/>
              </w:rPr>
            </w:pP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13%</w:t>
            </w:r>
          </w:p>
        </w:tc>
        <w:tc>
          <w:tcPr>
            <w:tcW w:w="1666" w:type="dxa"/>
            <w:vAlign w:val="center"/>
          </w:tcPr>
          <w:p>
            <w:pPr>
              <w:spacing w:line="400" w:lineRule="exact"/>
              <w:jc w:val="center"/>
              <w:rPr>
                <w:rFonts w:hint="eastAsia" w:ascii="仿宋" w:hAnsi="仿宋" w:eastAsia="仿宋" w:cs="仿宋"/>
                <w:sz w:val="24"/>
                <w:lang w:eastAsia="zh-CN"/>
              </w:rPr>
            </w:pPr>
            <w:r>
              <w:rPr>
                <w:rFonts w:hint="eastAsia" w:ascii="仿宋" w:hAnsi="仿宋" w:eastAsia="仿宋" w:cs="仿宋"/>
                <w:sz w:val="24"/>
                <w:lang w:eastAsia="zh-CN"/>
              </w:rPr>
              <w:t>是</w:t>
            </w:r>
          </w:p>
        </w:tc>
        <w:tc>
          <w:tcPr>
            <w:tcW w:w="1962" w:type="dxa"/>
            <w:vAlign w:val="center"/>
          </w:tcPr>
          <w:p>
            <w:pPr>
              <w:spacing w:line="400" w:lineRule="exact"/>
              <w:jc w:val="center"/>
              <w:rPr>
                <w:rFonts w:hint="eastAsia" w:ascii="仿宋" w:hAnsi="仿宋" w:eastAsia="仿宋" w:cs="仿宋"/>
                <w:sz w:val="24"/>
                <w:lang w:eastAsia="zh-CN"/>
              </w:rPr>
            </w:pPr>
            <w:r>
              <w:rPr>
                <w:rFonts w:hint="eastAsia" w:ascii="仿宋" w:hAnsi="仿宋" w:eastAsia="仿宋" w:cs="仿宋"/>
                <w:kern w:val="0"/>
                <w:sz w:val="24"/>
              </w:rPr>
              <w:t>GB/T14685-20</w:t>
            </w:r>
            <w:r>
              <w:rPr>
                <w:rFonts w:hint="eastAsia" w:ascii="仿宋" w:hAnsi="仿宋" w:eastAsia="仿宋" w:cs="仿宋"/>
                <w:kern w:val="0"/>
                <w:sz w:val="24"/>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45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中粗砂</w:t>
            </w:r>
          </w:p>
        </w:tc>
        <w:tc>
          <w:tcPr>
            <w:tcW w:w="308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中粗</w:t>
            </w:r>
          </w:p>
        </w:tc>
        <w:tc>
          <w:tcPr>
            <w:tcW w:w="11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吨</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3000</w:t>
            </w:r>
          </w:p>
        </w:tc>
        <w:tc>
          <w:tcPr>
            <w:tcW w:w="1462" w:type="dxa"/>
            <w:vAlign w:val="center"/>
          </w:tcPr>
          <w:p>
            <w:pPr>
              <w:spacing w:line="400" w:lineRule="exact"/>
              <w:jc w:val="center"/>
              <w:rPr>
                <w:rFonts w:hint="default" w:ascii="仿宋" w:hAnsi="仿宋" w:eastAsia="仿宋"/>
                <w:sz w:val="24"/>
                <w:lang w:val="en-US"/>
              </w:rPr>
            </w:pPr>
          </w:p>
        </w:tc>
        <w:tc>
          <w:tcPr>
            <w:tcW w:w="1463" w:type="dxa"/>
            <w:gridSpan w:val="2"/>
            <w:vAlign w:val="center"/>
          </w:tcPr>
          <w:p>
            <w:pPr>
              <w:spacing w:line="400" w:lineRule="exact"/>
              <w:jc w:val="center"/>
              <w:rPr>
                <w:rFonts w:hint="default" w:ascii="仿宋" w:hAnsi="仿宋" w:eastAsia="仿宋"/>
                <w:sz w:val="24"/>
                <w:lang w:val="en-US"/>
              </w:rPr>
            </w:pPr>
          </w:p>
        </w:tc>
        <w:tc>
          <w:tcPr>
            <w:tcW w:w="1034" w:type="dxa"/>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13%</w:t>
            </w:r>
          </w:p>
        </w:tc>
        <w:tc>
          <w:tcPr>
            <w:tcW w:w="1666" w:type="dxa"/>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eastAsia="zh-CN"/>
              </w:rPr>
              <w:t>是</w:t>
            </w:r>
          </w:p>
        </w:tc>
        <w:tc>
          <w:tcPr>
            <w:tcW w:w="1962" w:type="dxa"/>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eastAsia="zh-CN"/>
              </w:rPr>
              <w:t>JGJ52-2006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30" w:type="dxa"/>
            <w:vAlign w:val="center"/>
          </w:tcPr>
          <w:p>
            <w:pPr>
              <w:spacing w:line="400" w:lineRule="exact"/>
              <w:jc w:val="center"/>
              <w:rPr>
                <w:rFonts w:hint="eastAsia" w:ascii="仿宋" w:hAnsi="仿宋" w:eastAsia="仿宋"/>
                <w:sz w:val="24"/>
                <w:lang w:val="en-US" w:eastAsia="zh-CN"/>
              </w:rPr>
            </w:pPr>
          </w:p>
        </w:tc>
        <w:tc>
          <w:tcPr>
            <w:tcW w:w="14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YzY5NGZjYmIzMGI4ZWRkNDg3YTliZjgyMjI2MD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A7D05"/>
    <w:rsid w:val="01AF2C21"/>
    <w:rsid w:val="03012A46"/>
    <w:rsid w:val="035F6345"/>
    <w:rsid w:val="036C34DA"/>
    <w:rsid w:val="03D355F0"/>
    <w:rsid w:val="05011011"/>
    <w:rsid w:val="053E62C7"/>
    <w:rsid w:val="05BF33B5"/>
    <w:rsid w:val="061F198A"/>
    <w:rsid w:val="076B4827"/>
    <w:rsid w:val="08157878"/>
    <w:rsid w:val="08FD0B6A"/>
    <w:rsid w:val="095B20FD"/>
    <w:rsid w:val="09BB18A3"/>
    <w:rsid w:val="09F87FE5"/>
    <w:rsid w:val="0A9820E2"/>
    <w:rsid w:val="0B2B537E"/>
    <w:rsid w:val="0B6F7650"/>
    <w:rsid w:val="0B872600"/>
    <w:rsid w:val="0C6241B2"/>
    <w:rsid w:val="0CA911C7"/>
    <w:rsid w:val="0D2B4E23"/>
    <w:rsid w:val="0DF67C05"/>
    <w:rsid w:val="0E2061B7"/>
    <w:rsid w:val="0E876D2F"/>
    <w:rsid w:val="0EC82FD7"/>
    <w:rsid w:val="0F3A3B23"/>
    <w:rsid w:val="0FB34554"/>
    <w:rsid w:val="10181623"/>
    <w:rsid w:val="107E735A"/>
    <w:rsid w:val="11566F0B"/>
    <w:rsid w:val="115B48D4"/>
    <w:rsid w:val="12A820AD"/>
    <w:rsid w:val="135513EB"/>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366026"/>
    <w:rsid w:val="24453334"/>
    <w:rsid w:val="25590EC9"/>
    <w:rsid w:val="257F4BF0"/>
    <w:rsid w:val="25A13254"/>
    <w:rsid w:val="2601699D"/>
    <w:rsid w:val="262F357C"/>
    <w:rsid w:val="26A26CEB"/>
    <w:rsid w:val="27235E7D"/>
    <w:rsid w:val="276F4E38"/>
    <w:rsid w:val="2834446C"/>
    <w:rsid w:val="28C827CF"/>
    <w:rsid w:val="299D4A4C"/>
    <w:rsid w:val="2A1902C2"/>
    <w:rsid w:val="2AC06589"/>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305A08"/>
    <w:rsid w:val="3E474521"/>
    <w:rsid w:val="3FF77603"/>
    <w:rsid w:val="40C41D88"/>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142834"/>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D260F88"/>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4</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2023-09-21T09:20:47Z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