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管桩</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3121-2</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18</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18</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详见报价单</w:t>
      </w:r>
      <w:r>
        <w:rPr>
          <w:rFonts w:hint="eastAsia" w:ascii="仿宋" w:hAnsi="仿宋" w:eastAsia="仿宋" w:cs="仿宋_GB2312"/>
          <w:spacing w:val="-23"/>
          <w:sz w:val="28"/>
          <w:szCs w:val="28"/>
          <w:u w:val="single"/>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23</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肆</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管桩</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3121-2</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24</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管桩:</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GB/T13476-2009标准技术要求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eastAsia="zh-CN"/>
        </w:rPr>
        <w:t>铜陵有色金属集团股份有限公司绿色智能铜基新材料项目现场</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u w:val="none"/>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none"/>
        </w:rPr>
        <w:t>报价为含税</w:t>
      </w:r>
      <w:r>
        <w:rPr>
          <w:rFonts w:hint="eastAsia" w:ascii="仿宋" w:hAnsi="仿宋" w:eastAsia="仿宋" w:cs="仿宋_GB2312"/>
          <w:color w:val="000000"/>
          <w:sz w:val="28"/>
          <w:szCs w:val="28"/>
          <w:highlight w:val="none"/>
          <w:u w:val="none"/>
        </w:rPr>
        <w:t>含运费价</w:t>
      </w:r>
      <w:r>
        <w:rPr>
          <w:rFonts w:hint="eastAsia" w:ascii="仿宋" w:hAnsi="仿宋" w:eastAsia="仿宋" w:cs="仿宋_GB2312"/>
          <w:color w:val="000000"/>
          <w:sz w:val="28"/>
          <w:szCs w:val="28"/>
          <w:highlight w:val="none"/>
          <w:u w:val="none"/>
          <w:lang w:eastAsia="zh-CN"/>
        </w:rPr>
        <w:t>一票制</w:t>
      </w:r>
      <w:r>
        <w:rPr>
          <w:rFonts w:hint="eastAsia" w:ascii="仿宋" w:hAnsi="仿宋" w:eastAsia="仿宋" w:cs="仿宋_GB2312"/>
          <w:sz w:val="28"/>
          <w:szCs w:val="28"/>
          <w:highlight w:val="none"/>
          <w:u w:val="none"/>
        </w:rPr>
        <w:t>（税率</w:t>
      </w:r>
      <w:r>
        <w:rPr>
          <w:rFonts w:hint="eastAsia" w:ascii="仿宋" w:hAnsi="仿宋" w:eastAsia="仿宋" w:cs="仿宋_GB2312"/>
          <w:sz w:val="28"/>
          <w:szCs w:val="28"/>
          <w:highlight w:val="none"/>
          <w:u w:val="none"/>
          <w:lang w:eastAsia="zh-CN"/>
        </w:rPr>
        <w:t>为</w:t>
      </w:r>
      <w:r>
        <w:rPr>
          <w:rFonts w:hint="eastAsia" w:ascii="仿宋" w:hAnsi="仿宋" w:eastAsia="仿宋" w:cs="仿宋_GB2312"/>
          <w:sz w:val="28"/>
          <w:szCs w:val="28"/>
          <w:highlight w:val="none"/>
          <w:u w:val="none"/>
          <w:lang w:val="en-US" w:eastAsia="zh-CN"/>
        </w:rPr>
        <w:t>13%</w:t>
      </w:r>
      <w:r>
        <w:rPr>
          <w:rFonts w:hint="eastAsia" w:ascii="仿宋" w:hAnsi="仿宋" w:eastAsia="仿宋" w:cs="仿宋_GB2312"/>
          <w:sz w:val="28"/>
          <w:szCs w:val="28"/>
          <w:highlight w:val="none"/>
          <w:u w:val="none"/>
        </w:rPr>
        <w:t>）</w:t>
      </w:r>
      <w:r>
        <w:rPr>
          <w:rFonts w:hint="eastAsia" w:ascii="仿宋" w:hAnsi="仿宋" w:eastAsia="仿宋" w:cs="仿宋_GB2312"/>
          <w:color w:val="000000"/>
          <w:sz w:val="28"/>
          <w:szCs w:val="28"/>
          <w:highlight w:val="none"/>
          <w:u w:val="none"/>
        </w:rPr>
        <w:t>。</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u w:val="none"/>
        </w:rPr>
        <w:t>（2）各投标单位在投标报价前应仔细审阅招标公告、报价表及报价说明等与此次报价相关的所有资料。报价要谨慎，一旦中标，视为理解并考虑了我公司一切要求的报价，不得以任何理由变更。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招标单位现场人员签收的送货单</w:t>
      </w:r>
      <w:r>
        <w:rPr>
          <w:rFonts w:hint="eastAsia" w:ascii="仿宋" w:hAnsi="仿宋" w:eastAsia="仿宋" w:cs="仿宋_GB2312"/>
          <w:sz w:val="28"/>
          <w:szCs w:val="28"/>
        </w:rPr>
        <w:t>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招标单位现场人员签收的送货单</w:t>
      </w:r>
      <w:r>
        <w:rPr>
          <w:rFonts w:hint="eastAsia" w:ascii="仿宋" w:hAnsi="仿宋" w:eastAsia="仿宋" w:cs="仿宋_GB2312"/>
          <w:sz w:val="28"/>
          <w:szCs w:val="28"/>
        </w:rPr>
        <w:t>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30121-2</w:t>
      </w:r>
      <w:bookmarkStart w:id="0" w:name="_GoBack"/>
      <w:bookmarkEnd w:id="0"/>
      <w:r>
        <w:rPr>
          <w:rFonts w:hint="eastAsia" w:ascii="仿宋" w:hAnsi="仿宋" w:eastAsia="仿宋"/>
          <w:b/>
          <w:sz w:val="28"/>
          <w:szCs w:val="28"/>
        </w:rPr>
        <w:t>）</w:t>
      </w:r>
    </w:p>
    <w:tbl>
      <w:tblPr>
        <w:tblStyle w:val="54"/>
        <w:tblW w:w="15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1"/>
        <w:gridCol w:w="1526"/>
        <w:gridCol w:w="1511"/>
        <w:gridCol w:w="1062"/>
        <w:gridCol w:w="1167"/>
        <w:gridCol w:w="1705"/>
        <w:gridCol w:w="1918"/>
        <w:gridCol w:w="1413"/>
        <w:gridCol w:w="1052"/>
        <w:gridCol w:w="1735"/>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441"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26"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1"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2"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67"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05"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18"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87"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0"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4" w:hRule="atLeast"/>
        </w:trPr>
        <w:tc>
          <w:tcPr>
            <w:tcW w:w="441"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2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预应力管桩</w:t>
            </w:r>
          </w:p>
        </w:tc>
        <w:tc>
          <w:tcPr>
            <w:tcW w:w="151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PHC500AB125</w:t>
            </w:r>
          </w:p>
        </w:tc>
        <w:tc>
          <w:tcPr>
            <w:tcW w:w="1062"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16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5000</w:t>
            </w:r>
          </w:p>
        </w:tc>
        <w:tc>
          <w:tcPr>
            <w:tcW w:w="1705" w:type="dxa"/>
            <w:vAlign w:val="center"/>
          </w:tcPr>
          <w:p>
            <w:pPr>
              <w:spacing w:line="400" w:lineRule="exact"/>
              <w:jc w:val="center"/>
              <w:rPr>
                <w:rFonts w:hint="eastAsia" w:ascii="仿宋" w:hAnsi="仿宋" w:eastAsia="仿宋"/>
                <w:sz w:val="24"/>
              </w:rPr>
            </w:pPr>
          </w:p>
        </w:tc>
        <w:tc>
          <w:tcPr>
            <w:tcW w:w="1918" w:type="dxa"/>
            <w:vAlign w:val="center"/>
          </w:tcPr>
          <w:p>
            <w:pPr>
              <w:spacing w:line="400" w:lineRule="exact"/>
              <w:jc w:val="center"/>
              <w:rPr>
                <w:rFonts w:hint="eastAsia" w:ascii="仿宋" w:hAnsi="仿宋" w:eastAsia="仿宋"/>
                <w:sz w:val="24"/>
              </w:rPr>
            </w:pPr>
          </w:p>
        </w:tc>
        <w:tc>
          <w:tcPr>
            <w:tcW w:w="1413"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87"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0"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4" w:hRule="atLeast"/>
        </w:trPr>
        <w:tc>
          <w:tcPr>
            <w:tcW w:w="44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1526"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预应力管桩</w:t>
            </w:r>
          </w:p>
        </w:tc>
        <w:tc>
          <w:tcPr>
            <w:tcW w:w="1511"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PHC600AB130</w:t>
            </w:r>
          </w:p>
        </w:tc>
        <w:tc>
          <w:tcPr>
            <w:tcW w:w="1062"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米</w:t>
            </w:r>
          </w:p>
        </w:tc>
        <w:tc>
          <w:tcPr>
            <w:tcW w:w="1167"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5000</w:t>
            </w:r>
          </w:p>
        </w:tc>
        <w:tc>
          <w:tcPr>
            <w:tcW w:w="1705" w:type="dxa"/>
            <w:vAlign w:val="center"/>
          </w:tcPr>
          <w:p>
            <w:pPr>
              <w:spacing w:line="400" w:lineRule="exact"/>
              <w:jc w:val="center"/>
              <w:rPr>
                <w:rFonts w:hint="eastAsia" w:ascii="仿宋" w:hAnsi="仿宋" w:eastAsia="仿宋"/>
                <w:sz w:val="24"/>
              </w:rPr>
            </w:pPr>
          </w:p>
        </w:tc>
        <w:tc>
          <w:tcPr>
            <w:tcW w:w="1918" w:type="dxa"/>
            <w:vAlign w:val="center"/>
          </w:tcPr>
          <w:p>
            <w:pPr>
              <w:spacing w:line="400" w:lineRule="exact"/>
              <w:jc w:val="center"/>
              <w:rPr>
                <w:rFonts w:hint="eastAsia" w:ascii="仿宋" w:hAnsi="仿宋" w:eastAsia="仿宋"/>
                <w:sz w:val="24"/>
              </w:rPr>
            </w:pPr>
          </w:p>
        </w:tc>
        <w:tc>
          <w:tcPr>
            <w:tcW w:w="141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13%</w:t>
            </w:r>
          </w:p>
        </w:tc>
        <w:tc>
          <w:tcPr>
            <w:tcW w:w="2787"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0"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3" w:hRule="atLeast"/>
        </w:trPr>
        <w:tc>
          <w:tcPr>
            <w:tcW w:w="154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5707"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2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7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5707" w:type="dxa"/>
            <w:gridSpan w:val="5"/>
            <w:vMerge w:val="continue"/>
            <w:vAlign w:val="center"/>
          </w:tcPr>
          <w:p>
            <w:pPr>
              <w:spacing w:line="400" w:lineRule="exact"/>
              <w:rPr>
                <w:rFonts w:hint="eastAsia" w:ascii="仿宋" w:hAnsi="仿宋" w:eastAsia="仿宋"/>
                <w:sz w:val="24"/>
              </w:rPr>
            </w:pPr>
          </w:p>
        </w:tc>
        <w:tc>
          <w:tcPr>
            <w:tcW w:w="362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6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0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5707" w:type="dxa"/>
            <w:gridSpan w:val="5"/>
            <w:vMerge w:val="continue"/>
            <w:vAlign w:val="center"/>
          </w:tcPr>
          <w:p>
            <w:pPr>
              <w:spacing w:line="400" w:lineRule="exact"/>
              <w:rPr>
                <w:rFonts w:hint="eastAsia" w:ascii="仿宋" w:hAnsi="仿宋" w:eastAsia="仿宋"/>
                <w:sz w:val="24"/>
              </w:rPr>
            </w:pPr>
          </w:p>
        </w:tc>
        <w:tc>
          <w:tcPr>
            <w:tcW w:w="3623" w:type="dxa"/>
            <w:gridSpan w:val="2"/>
            <w:vMerge w:val="continue"/>
            <w:vAlign w:val="center"/>
          </w:tcPr>
          <w:p>
            <w:pPr>
              <w:spacing w:line="400" w:lineRule="exact"/>
              <w:jc w:val="center"/>
              <w:rPr>
                <w:rFonts w:hint="eastAsia" w:ascii="仿宋" w:hAnsi="仿宋" w:eastAsia="仿宋"/>
                <w:sz w:val="24"/>
              </w:rPr>
            </w:pPr>
          </w:p>
        </w:tc>
        <w:tc>
          <w:tcPr>
            <w:tcW w:w="246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0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FB2B06"/>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75227CF"/>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uiPriority w:val="0"/>
    <w:rPr>
      <w:rFonts w:ascii="Arial" w:hAnsi="Arial" w:eastAsia="黑体"/>
      <w:sz w:val="21"/>
      <w:szCs w:val="21"/>
      <w:lang w:val="en-US" w:eastAsia="zh-CN" w:bidi="ar-SA"/>
    </w:rPr>
  </w:style>
  <w:style w:type="character" w:customStyle="1" w:styleId="124">
    <w:name w:val=" 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uiPriority w:val="0"/>
    <w:rPr>
      <w:b/>
      <w:bCs/>
      <w:sz w:val="32"/>
      <w:szCs w:val="32"/>
    </w:rPr>
  </w:style>
  <w:style w:type="character" w:customStyle="1" w:styleId="137">
    <w:name w:val=" Char Char2"/>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qFormat/>
    <w:uiPriority w:val="0"/>
    <w:rPr>
      <w:b/>
      <w:bCs/>
      <w:kern w:val="44"/>
      <w:sz w:val="44"/>
      <w:szCs w:val="44"/>
    </w:rPr>
  </w:style>
  <w:style w:type="character" w:customStyle="1" w:styleId="152">
    <w:name w:val="标题 3 Char"/>
    <w:link w:val="4"/>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2023-08-18T08:53:59Z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