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宋体" w:hAnsi="宋体" w:cs="宋体"/>
          <w:b/>
          <w:bCs/>
          <w:sz w:val="44"/>
          <w:szCs w:val="44"/>
          <w:u w:val="single"/>
        </w:rPr>
      </w:pPr>
    </w:p>
    <w:p>
      <w:pPr>
        <w:spacing w:line="700" w:lineRule="exact"/>
        <w:jc w:val="center"/>
        <w:rPr>
          <w:rFonts w:ascii="仿宋" w:hAnsi="仿宋" w:eastAsia="仿宋"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  <w:u w:val="single"/>
        </w:rPr>
        <w:t>第二事业部书香苑项目百叶窗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72"/>
          <w:szCs w:val="72"/>
        </w:rPr>
      </w:pPr>
      <w:r>
        <w:rPr>
          <w:rFonts w:hint="eastAsia" w:ascii="宋体" w:hAnsi="宋体" w:cs="宋体"/>
          <w:b/>
          <w:sz w:val="44"/>
          <w:szCs w:val="44"/>
        </w:rPr>
        <w:t>招标文件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52"/>
          <w:szCs w:val="52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招标编号：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TGJA-WZ-2023106</w:t>
      </w:r>
    </w:p>
    <w:p>
      <w:pPr>
        <w:rPr>
          <w:rFonts w:ascii="仿宋" w:hAnsi="仿宋" w:eastAsia="仿宋" w:cs="仿宋_GB2312"/>
          <w:b/>
          <w:bCs/>
          <w:sz w:val="32"/>
          <w:szCs w:val="32"/>
          <w:highlight w:val="cyan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招标公告发布日期：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2023年7月14日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 xml:space="preserve">招 标 人: 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铜陵有色金属集团铜冠建筑安装股份有限公司</w:t>
      </w:r>
    </w:p>
    <w:p>
      <w:pPr>
        <w:rPr>
          <w:rFonts w:ascii="仿宋" w:hAnsi="仿宋" w:eastAsia="仿宋" w:cs="仿宋_GB2312"/>
          <w:b/>
          <w:bCs/>
          <w:sz w:val="32"/>
          <w:szCs w:val="32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联 系 人：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叶明陵（13865621916）、任凡（15656263008）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【声明】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1、公开招标（竞价）是铜冠建安公司为规范自主采购管理，推进阳光工程而采取的公开竞争性采购方式，公司物资供应部根据阳光工程相关规定通过招标平台进行公开招标（竞价）。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2、公开招标（竞价）在铜冠建安公司纪委监督下进行。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一、招标日程安排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  <w:shd w:val="clear" w:color="FFFFFF" w:fill="D9D9D9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1、招标公告发布日期：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2023年7月14日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2、投标截止时间：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2023年7月20日9:00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3、投标文件递交地点：铜陵有色金属集团铜冠建筑安装股份有限公司审计监察室（</w:t>
      </w:r>
      <w:r>
        <w:rPr>
          <w:rFonts w:hint="eastAsia" w:ascii="仿宋" w:hAnsi="仿宋" w:eastAsia="仿宋" w:cs="仿宋_GB2312"/>
          <w:sz w:val="28"/>
          <w:szCs w:val="28"/>
        </w:rPr>
        <w:t>黄山大道南段879号主楼四楼</w:t>
      </w:r>
      <w:r>
        <w:rPr>
          <w:rFonts w:hint="eastAsia" w:ascii="仿宋_GB2312" w:hAnsi="仿宋_GB2312" w:eastAsia="仿宋_GB2312" w:cs="仿宋_GB2312"/>
          <w:sz w:val="28"/>
          <w:szCs w:val="28"/>
        </w:rPr>
        <w:t>）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4、投标文件收件人：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5、开标时间：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2023年7月20日9:00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6、发中标通知书时间：另行通知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7、签订合同时间：另行通知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二、招标内容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本次招标的具体内容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：详见报价单。</w:t>
      </w: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说明：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该招标数量为招标人在现有条件下核定的大约数量，此数量仅作为评标和签订合同数量的依据，不作为中标人最终供货结算数量的依据，最终供货结算数量的增减丝毫不影响投标报价的效力。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三、投标人资格要求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1、在中华人民共和国境内依法经国家工商、税务机关登记注册。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2、投标人须为一般纳税人或小规模纳税人。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3、投标人提供的相关资质证件均须在年审有效期内。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4、投标人营业执照所列示的经营范围必须涵盖本次招标材料品种。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green"/>
        </w:rPr>
      </w:pPr>
      <w:r>
        <w:rPr>
          <w:rFonts w:hint="eastAsia" w:ascii="仿宋" w:hAnsi="仿宋" w:eastAsia="仿宋" w:cs="仿宋_GB2312"/>
          <w:sz w:val="28"/>
          <w:szCs w:val="28"/>
        </w:rPr>
        <w:t>5、有生产经营和安全许可要求的，必须有相应有效的许可证。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6、投标人近三年无重大失信和违法、违纪行为等不良记录。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四、招标公告发布的媒介及招标公告的获取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本次招标公告（包括后期如有对招标文件所作的澄清、修改等。）将在铜冠建筑安装股份有限公司网（</w:t>
      </w:r>
      <w:r>
        <w:rPr>
          <w:rFonts w:ascii="仿宋" w:hAnsi="仿宋" w:eastAsia="仿宋" w:cs="仿宋_GB2312"/>
          <w:sz w:val="28"/>
          <w:szCs w:val="28"/>
        </w:rPr>
        <w:t>http://www.tltgja.com.cn/</w:t>
      </w:r>
      <w:r>
        <w:rPr>
          <w:rFonts w:hint="eastAsia" w:ascii="仿宋" w:hAnsi="仿宋" w:eastAsia="仿宋" w:cs="仿宋_GB2312"/>
          <w:sz w:val="28"/>
          <w:szCs w:val="28"/>
        </w:rPr>
        <w:t>）在线招标--物资招标上发布。招标公告请投标人自行下载。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所有招标信息均以以上网站发布为准，其它任何形式的内容不作为招标投标以及开标评标的依据。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  <w:r>
        <w:rPr>
          <w:rFonts w:hint="eastAsia" w:ascii="仿宋_GB2312" w:hAnsi="宋体" w:eastAsia="仿宋_GB2312" w:cs="仿宋_GB2312"/>
          <w:b/>
          <w:sz w:val="36"/>
          <w:szCs w:val="36"/>
        </w:rPr>
        <w:t>五、投标报名</w:t>
      </w: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1、各投标人需在开标之前至铜陵有色建安公司报名。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2、报名时投标人需提供报名资料。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报名资料包括加盖公章的营业执照副本的复印件、法人身份证复印件（经办人不是法人代表的要提供法人代表授权委托书、代理人身份证复印件）等资料。</w:t>
      </w:r>
    </w:p>
    <w:p>
      <w:pPr>
        <w:ind w:firstLine="560" w:firstLineChars="200"/>
        <w:rPr>
          <w:rFonts w:ascii="仿宋_GB2312" w:hAnsi="仿宋_GB2312" w:eastAsia="仿宋_GB2312" w:cs="仿宋_GB2312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3、报名自招标公告发布之日起至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</w:rPr>
        <w:t>2023年7月19日12:00止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报名后资格审查未通过或未按相关要求报名的投标资料按废标处理。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5、报名地点：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>铜冠建安公司物资供应部（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黄山大道南段879号主楼四楼</w:t>
      </w:r>
      <w:r>
        <w:rPr>
          <w:rFonts w:hint="eastAsia" w:ascii="仿宋" w:hAnsi="仿宋" w:eastAsia="仿宋" w:cs="仿宋"/>
          <w:sz w:val="28"/>
          <w:szCs w:val="28"/>
          <w:u w:val="single"/>
        </w:rPr>
        <w:t>）也可通过网络形式报名，将相关资料通过网络发给报名联系人。</w:t>
      </w:r>
    </w:p>
    <w:p>
      <w:pPr>
        <w:ind w:firstLine="560" w:firstLineChars="200"/>
        <w:rPr>
          <w:rFonts w:ascii="仿宋" w:hAnsi="仿宋" w:eastAsia="仿宋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6、联 系 人：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>叶明陵（13865621916）、任凡（15656263008）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spacing w:line="56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六、保证金</w:t>
      </w:r>
    </w:p>
    <w:p>
      <w:pPr>
        <w:spacing w:line="56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ind w:firstLine="560" w:firstLineChars="200"/>
        <w:jc w:val="left"/>
        <w:rPr>
          <w:rFonts w:ascii="仿宋" w:hAnsi="仿宋" w:eastAsia="仿宋" w:cs="仿宋_GB2312"/>
          <w:b/>
          <w:bCs/>
          <w:color w:val="C00000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1、为严肃和规范投标行为，确保投标的顺利以及中标后合同的有效执行，投标人须向招标人缴纳投标保证金，本次需缴纳投标保</w:t>
      </w:r>
      <w:r>
        <w:rPr>
          <w:rFonts w:hint="eastAsia" w:ascii="仿宋" w:hAnsi="仿宋" w:eastAsia="仿宋" w:cs="仿宋_GB2312"/>
          <w:color w:val="000000"/>
          <w:sz w:val="28"/>
          <w:szCs w:val="28"/>
        </w:rPr>
        <w:t>证金</w:t>
      </w:r>
      <w:r>
        <w:rPr>
          <w:rFonts w:hint="eastAsia" w:ascii="仿宋" w:hAnsi="仿宋" w:eastAsia="仿宋" w:cs="仿宋_GB2312"/>
          <w:b/>
          <w:bCs/>
          <w:color w:val="000000"/>
          <w:sz w:val="28"/>
          <w:szCs w:val="28"/>
          <w:highlight w:val="green"/>
          <w:u w:val="single"/>
          <w:lang w:eastAsia="zh-CN"/>
        </w:rPr>
        <w:t>壹</w:t>
      </w:r>
      <w:r>
        <w:rPr>
          <w:rFonts w:hint="eastAsia" w:ascii="仿宋" w:hAnsi="仿宋" w:eastAsia="仿宋" w:cs="仿宋_GB2312"/>
          <w:b/>
          <w:bCs/>
          <w:color w:val="000000"/>
          <w:sz w:val="28"/>
          <w:szCs w:val="28"/>
          <w:highlight w:val="green"/>
          <w:u w:val="single"/>
        </w:rPr>
        <w:t>万元整</w:t>
      </w:r>
      <w:r>
        <w:rPr>
          <w:rFonts w:hint="eastAsia" w:ascii="仿宋" w:hAnsi="仿宋" w:eastAsia="仿宋" w:cs="仿宋_GB2312"/>
          <w:color w:val="000000"/>
          <w:sz w:val="28"/>
          <w:szCs w:val="28"/>
        </w:rPr>
        <w:t>；</w:t>
      </w:r>
      <w:r>
        <w:rPr>
          <w:rFonts w:hint="eastAsia" w:ascii="仿宋" w:hAnsi="仿宋" w:eastAsia="仿宋" w:cs="仿宋_GB2312"/>
          <w:sz w:val="28"/>
          <w:szCs w:val="28"/>
        </w:rPr>
        <w:t>（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投标文件内附汇款凭证复印件。如投标人在铜冠建安公司（含各分子公司）有超过投标保证金数额的应收欠款，可以出具承诺书的方式将足额应收欠款转为投标保证金，承诺书作为投标资料的一部分，并附铜冠建安公司（含各分子公司）财务出具的加盖财务专用章的应收欠款证明。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无投标保证金或未出具投标保证金承诺书</w:t>
      </w:r>
      <w:bookmarkStart w:id="0" w:name="_GoBack"/>
      <w:bookmarkEnd w:id="0"/>
      <w:r>
        <w:rPr>
          <w:rFonts w:hint="eastAsia" w:ascii="仿宋" w:hAnsi="仿宋" w:eastAsia="仿宋" w:cs="仿宋_GB2312"/>
          <w:b/>
          <w:bCs/>
          <w:sz w:val="28"/>
          <w:szCs w:val="28"/>
        </w:rPr>
        <w:t>视为无效投标。</w:t>
      </w:r>
      <w:r>
        <w:rPr>
          <w:rFonts w:hint="eastAsia" w:ascii="仿宋" w:hAnsi="仿宋" w:eastAsia="仿宋" w:cs="仿宋_GB2312"/>
          <w:sz w:val="28"/>
          <w:szCs w:val="28"/>
        </w:rPr>
        <w:t>投标保证金须对公账户转账，不接受个人账户转账，同时要求注明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铜陵铜冠建安公司第二事业部书香苑项目百叶窗材料TGJA-WZ-2023106投标保证金</w:t>
      </w:r>
    </w:p>
    <w:p>
      <w:pPr>
        <w:spacing w:line="560" w:lineRule="exact"/>
        <w:ind w:firstLine="562" w:firstLineChars="200"/>
        <w:jc w:val="left"/>
        <w:rPr>
          <w:rFonts w:ascii="仿宋" w:hAnsi="仿宋" w:eastAsia="仿宋" w:cs="仿宋_GB2312"/>
          <w:b/>
          <w:bCs/>
          <w:color w:val="C00000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  <w:t xml:space="preserve">2、下列任何情况发生时，投标保证金将被不予退还： </w:t>
      </w:r>
    </w:p>
    <w:p>
      <w:pPr>
        <w:spacing w:line="560" w:lineRule="exact"/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（1）投标人在投标截止后至投标有效期内撤回投标文件的； </w:t>
      </w:r>
    </w:p>
    <w:p>
      <w:pPr>
        <w:spacing w:line="560" w:lineRule="exact"/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（2）中标人未能在规定期限内按照招标文件签订合同协议；</w:t>
      </w:r>
    </w:p>
    <w:p>
      <w:pPr>
        <w:spacing w:line="560" w:lineRule="exact"/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（3）签署合同后，未能在规定的时间内提供履约保证金；</w:t>
      </w:r>
    </w:p>
    <w:p>
      <w:pPr>
        <w:spacing w:line="560" w:lineRule="exact"/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（4）投标人在招标中存在违规和违法行为的。</w:t>
      </w:r>
    </w:p>
    <w:p>
      <w:pPr>
        <w:spacing w:line="560" w:lineRule="exact"/>
        <w:ind w:firstLine="560" w:firstLineChars="200"/>
        <w:jc w:val="left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（5）中标人因自身原因放弃中标资格的。</w:t>
      </w:r>
    </w:p>
    <w:p>
      <w:pPr>
        <w:spacing w:line="56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3、在签订合同前，中标人须交纳履约保证金。履约保证金金额为中标合同总金额的 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10% </w:t>
      </w:r>
      <w:r>
        <w:rPr>
          <w:rFonts w:hint="eastAsia" w:ascii="仿宋" w:hAnsi="仿宋" w:eastAsia="仿宋" w:cs="仿宋_GB2312"/>
          <w:sz w:val="28"/>
          <w:szCs w:val="28"/>
        </w:rPr>
        <w:t>（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如中标人在铜冠建安公司（含各分子公司）有超过履约保证金数额的应收欠款，可以出具承诺书的方式承诺将足额欠款转为履约保证金，并附铜冠建安公司（含各分子公司）财务出具加盖财务专用章的应收欠款证明。或以货款抵扣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</w:p>
    <w:p>
      <w:pPr>
        <w:spacing w:line="56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4、招标人与中标人签订合同后</w:t>
      </w:r>
      <w:r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  <w:t>7</w:t>
      </w:r>
      <w:r>
        <w:rPr>
          <w:rFonts w:hint="eastAsia" w:ascii="仿宋" w:hAnsi="仿宋" w:eastAsia="仿宋" w:cs="仿宋_GB2312"/>
          <w:sz w:val="28"/>
          <w:szCs w:val="28"/>
        </w:rPr>
        <w:t>日内，向未中标的投标人退还投标保证金（无息），中标人在签订合同并交纳履约保证金后退还投标保证金（无息）。</w:t>
      </w:r>
    </w:p>
    <w:p>
      <w:pPr>
        <w:spacing w:line="56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5、公司对公账户信息</w:t>
      </w:r>
    </w:p>
    <w:p>
      <w:pPr>
        <w:spacing w:line="56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账户名称：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铜陵有色金属集团铜冠建筑安装股份有限公司</w:t>
      </w:r>
    </w:p>
    <w:p>
      <w:pPr>
        <w:spacing w:line="56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账    号：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1308024009200056147</w:t>
      </w:r>
    </w:p>
    <w:p>
      <w:pPr>
        <w:spacing w:line="56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开 户 行：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工行铜陵铜都支行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 xml:space="preserve"> 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七、投标文件的递交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color w:val="000000" w:themeColor="text1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1、投标文件递交的截止时间：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</w:rPr>
        <w:t>2023年7月20日9:00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2、投标文件递交地点：铜陵有色金属集团铜冠建筑安装股份有限公司经营部（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黄山大道南段879号主楼四楼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3、投标文件收件人：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4、逾期送达的或未按规定送达指定地点的投标文件，招标人不予受理。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八、投标人须知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1、与本次招标材料的质量相关要求</w:t>
      </w:r>
    </w:p>
    <w:p>
      <w:pPr>
        <w:spacing w:line="560" w:lineRule="exact"/>
        <w:ind w:firstLine="638" w:firstLineChars="228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（1）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材料质量要求：报价单中相关要求。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投标人如若中标，提供的所有材料必须符合技术指标要求，</w:t>
      </w:r>
      <w:r>
        <w:rPr>
          <w:rFonts w:hint="eastAsia" w:ascii="仿宋" w:hAnsi="仿宋" w:eastAsia="仿宋" w:cs="仿宋"/>
          <w:sz w:val="28"/>
          <w:szCs w:val="28"/>
          <w:u w:val="single"/>
        </w:rPr>
        <w:t>以招标人抽样检验为准。所供材料如未达到技术指标要求，中标人应立即停供。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（3）若达不到招标人要求的，中标人无条件将该批货物拉回且不计货款，动用招标人机械的收取相应费用。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（4）按招标人提供计划生产，分批发货；每批发货前，招标人提前1天通知具体发货明细。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（5）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因材料产品质量不合格所造成的相关质量问题，没收中标人履约保证金，同时对相关质量问题所引发的返工、耽误工期、对业主单位的生产影响等所有相关损失，中标人承担相应责任。</w:t>
      </w:r>
    </w:p>
    <w:p>
      <w:pPr>
        <w:ind w:firstLine="638" w:firstLineChars="228"/>
        <w:rPr>
          <w:rFonts w:ascii="仿宋" w:hAnsi="仿宋" w:eastAsia="仿宋" w:cs="仿宋_GB2312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2、付款方式</w:t>
      </w:r>
    </w:p>
    <w:p>
      <w:pPr>
        <w:spacing w:line="560" w:lineRule="exact"/>
        <w:ind w:firstLine="638" w:firstLineChars="228"/>
        <w:rPr>
          <w:rFonts w:ascii="仿宋_GB2312" w:hAnsi="仿宋_GB2312" w:eastAsia="仿宋_GB2312" w:cs="仿宋_GB2312"/>
          <w:sz w:val="28"/>
          <w:szCs w:val="28"/>
          <w:highlight w:val="green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合同签订后，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</w:rPr>
        <w:t>根据到货情况，货到验收合格后开具发票，入账次月支付40%，春节前支付至80%，剩余20%该春节后两年内付清。</w:t>
      </w:r>
      <w:r>
        <w:rPr>
          <w:rFonts w:hint="eastAsia" w:ascii="仿宋" w:hAnsi="仿宋" w:eastAsia="仿宋" w:cs="仿宋"/>
          <w:color w:val="171A1D"/>
          <w:sz w:val="28"/>
          <w:szCs w:val="28"/>
          <w:u w:val="single"/>
          <w:shd w:val="clear" w:color="auto" w:fill="FFFFFF"/>
        </w:rPr>
        <w:t>货款以对公转账方式支付至供方对公账户，支付电汇或不超过合同总金额50%的6个月内银行电子承兑。</w:t>
      </w:r>
    </w:p>
    <w:p>
      <w:pPr>
        <w:spacing w:line="44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</w:rPr>
        <w:t xml:space="preserve"> 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3、报价相关要求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（1）报价为含税（税率必须注明）、含运费一票制价格。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（2）各投标单位在投标报价前应仔细审阅招标公告、报价表及报价说明等与此次报价相关的所有资料。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报价要谨慎，一旦中标，视为理解并考虑了我公司一切要求的报价，不得以任何理由变更。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4、标书相关要求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投标人法定代表人应在报价单相应位置签字及加盖公章，如经办人不是法人代表，须提供本人身份证复印件、法人身份证复印件、投标廉洁承诺书及有法人代表签字的《法人代表授权书》并加盖公章作为投标资料的一部分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（2）投标文件密封袋封口处应密封完整，加盖投标单位公章，并且注明招标编号及材料名称。因投标人制作、密封、寄送报价文件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不符合要求的视为无效投标。</w:t>
      </w:r>
    </w:p>
    <w:p>
      <w:pPr>
        <w:ind w:firstLine="565" w:firstLineChars="202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投标人的所有报价文件，除《法定代表人授权书》中的法定代表人签名、投标廉洁承诺书中的承诺人签字、报价单中的法定代表人或授权委托人签名须手写以外，其他填写的内容均为加盖单位公章的打印件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（4）装订要求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>密封袋封口处应密封严实，并应加盖投标人公章。未按装订要求装订的，我公司不负责相关保密要求，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>同时视为无效投标。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5、交货地点、收货人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材料送至池州书香苑项目施工现场。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6、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</w:rPr>
        <w:t>本次招标的材料由中标人负责运输至指定地点。运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输过程中未按相关安全、环保等要求所导致的一切安全、环保事故由中标人承担责任。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7、供货数量验收确认方式</w:t>
      </w:r>
    </w:p>
    <w:p>
      <w:pPr>
        <w:spacing w:line="312" w:lineRule="auto"/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</w:rPr>
        <w:t>以使用单位现场签字的收货单为准。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九、评标及中标履约要求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1、评标由审计监察室随机临时确定评委并组建的评标委员会负责。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2、评标原则：评标活动遵循公平、公正、科学和择优的原则。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3、评标：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本次评标以价格为评标依据，采取“合理低价法”评标。即以经评委会审核，剔除偏离市场行情较大的恶意报价后的报价进行排序，其中价格最低的报价单位为预中标单位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4、中标候选人推荐：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评标委员会依据评标结果推荐一名中标候选人。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5、中标通知：招标人以书面形式向中标人发出中标通知书。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6、招标人和中标人应当自中标通知书发出之日起七日内，按照招标文件和中标人的投标文件订立书面合同，招标人和中标人不得再行订立背离本次招标实质性内容的其他协议。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十、纪律和监督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1、对招标人的纪律要求：招标人不得泄漏招标投标活动中应当保密的情况和资料，不得与投标人串通损害公司利益或者他人合法权益。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2、对投标人的纪律要求：投标人不得相互串通投标或者与招标人串通投标，不得向招标人或者评标委员会成员行贿谋取中标，不得以他人名义投标或者以其他方式弄虚作假骗取中标；投标人不得以任何方式干扰、影响评标工作。投标人有上述行为的，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一经确认将取消其今后参加我公司招标的资格，列入供应商黑名单。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十一、法定代表人授权书</w:t>
      </w:r>
    </w:p>
    <w:p>
      <w:pPr>
        <w:pStyle w:val="20"/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本授权书声明：我（姓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名）</w:t>
      </w:r>
      <w:r>
        <w:rPr>
          <w:rFonts w:hint="eastAsia" w:ascii="仿宋" w:hAnsi="仿宋" w:eastAsia="仿宋" w:cs="仿宋_GB2312"/>
          <w:sz w:val="28"/>
          <w:szCs w:val="28"/>
        </w:rPr>
        <w:t>系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</w:t>
      </w:r>
      <w:r>
        <w:rPr>
          <w:rFonts w:hint="eastAsia" w:ascii="仿宋" w:hAnsi="仿宋" w:eastAsia="仿宋" w:cs="仿宋_GB2312"/>
          <w:sz w:val="28"/>
          <w:szCs w:val="28"/>
        </w:rPr>
        <w:t>的法定代表人，现授权委托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（单位名称）（被授权委托人姓名 ）</w:t>
      </w:r>
      <w:r>
        <w:rPr>
          <w:rFonts w:hint="eastAsia" w:ascii="仿宋" w:hAnsi="仿宋" w:eastAsia="仿宋" w:cs="仿宋_GB2312"/>
          <w:sz w:val="28"/>
          <w:szCs w:val="28"/>
        </w:rPr>
        <w:t>为本公司合理代表人，就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 xml:space="preserve">投标，以本公司名义处理一切与之有关的事务。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本授权书于______年___月___日签字生效， 特此声明。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代理人情况：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姓名：__________________   职务/职称：____________________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地址：__________________   邮编：_________________________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电话：__________________   传真：_________________________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beforeLines="50" w:afterLines="50" w:line="360" w:lineRule="auto"/>
        <w:ind w:firstLine="4080" w:firstLineChars="1700"/>
        <w:rPr>
          <w:rFonts w:ascii="宋体"/>
          <w:sz w:val="24"/>
        </w:rPr>
      </w:pP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法定代表人签字：_______________ </w:t>
      </w: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单位盖章：_____________________</w:t>
      </w:r>
    </w:p>
    <w:p>
      <w:pPr>
        <w:spacing w:beforeLines="50" w:afterLines="50" w:line="360" w:lineRule="auto"/>
        <w:rPr>
          <w:sz w:val="24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年   月   日</w:t>
      </w: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56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十二、投标廉洁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承诺书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我单位于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日参与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>投标，</w:t>
      </w:r>
      <w:r>
        <w:rPr>
          <w:rFonts w:hint="eastAsia" w:ascii="仿宋_GB2312" w:hAnsi="仿宋_GB2312" w:eastAsia="仿宋_GB2312" w:cs="仿宋_GB2312"/>
          <w:sz w:val="28"/>
          <w:szCs w:val="28"/>
        </w:rPr>
        <w:t>为加强招投标管理和廉政建设，防止发生各种谋取不正当利益的违法违纪行为、规范双方的各项活动，保护当事人及所属公司的合法权益，供方承诺：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承诺不相互串通投标或者与招标人串通投标；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不向招标人或者评标委员会成员行贿谋取中标；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不以他人名义投标或者以其他方式弄虚作假骗取中标；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承诺不向招标人及有关人员提供任何形式的财、物及请吃消费；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保证材料供应的数量、质量及供货时间符合贵公司要求。如果由于材料本身的数量、质量及供货时间等问题而导致贵公司生产、施工发生返工、工期延误等情况，所造成的相应直接、间接损失由我方承担，我方接受贵公司相应处罚，情节严重的愿承担相关法律责任。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  <w:u w:val="single"/>
        </w:rPr>
      </w:pP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承诺方签字:</w:t>
      </w:r>
      <w:r>
        <w:rPr>
          <w:rFonts w:hint="eastAsia" w:ascii="仿宋" w:hAnsi="仿宋" w:eastAsia="仿宋" w:cs="仿宋_GB2312"/>
          <w:sz w:val="28"/>
          <w:szCs w:val="28"/>
        </w:rPr>
        <w:t>_________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单位盖章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：                    </w:t>
      </w:r>
    </w:p>
    <w:p>
      <w:pPr>
        <w:spacing w:line="560" w:lineRule="exact"/>
        <w:ind w:firstLine="2240" w:firstLineChars="800"/>
        <w:rPr>
          <w:rFonts w:ascii="仿宋_GB2312" w:hAnsi="宋体" w:eastAsia="仿宋_GB2312" w:cs="仿宋_GB2312"/>
          <w:b/>
          <w:sz w:val="36"/>
          <w:szCs w:val="36"/>
        </w:rPr>
        <w:sectPr>
          <w:headerReference r:id="rId3" w:type="default"/>
          <w:footerReference r:id="rId4" w:type="default"/>
          <w:pgSz w:w="11906" w:h="16838"/>
          <w:pgMar w:top="312" w:right="1469" w:bottom="709" w:left="1338" w:header="851" w:footer="273" w:gutter="284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日期：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十三、报价单</w:t>
      </w:r>
    </w:p>
    <w:p>
      <w:pPr>
        <w:rPr>
          <w:rFonts w:ascii="仿宋_GB2312" w:eastAsia="仿宋_GB2312"/>
          <w:b/>
          <w:i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报价单 TGJA-WZ-2023106</w:t>
      </w:r>
    </w:p>
    <w:tbl>
      <w:tblPr>
        <w:tblStyle w:val="54"/>
        <w:tblW w:w="152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"/>
        <w:gridCol w:w="2011"/>
        <w:gridCol w:w="2835"/>
        <w:gridCol w:w="795"/>
        <w:gridCol w:w="1048"/>
        <w:gridCol w:w="179"/>
        <w:gridCol w:w="1404"/>
        <w:gridCol w:w="1405"/>
        <w:gridCol w:w="697"/>
        <w:gridCol w:w="1103"/>
        <w:gridCol w:w="859"/>
        <w:gridCol w:w="24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物料名称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型号规格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数量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含税含运费单价</w:t>
            </w:r>
          </w:p>
        </w:tc>
        <w:tc>
          <w:tcPr>
            <w:tcW w:w="1405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含税含运费金额</w:t>
            </w:r>
          </w:p>
        </w:tc>
        <w:tc>
          <w:tcPr>
            <w:tcW w:w="2659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税率（注明税率及是否为增值税专业发票）＊</w:t>
            </w:r>
          </w:p>
        </w:tc>
        <w:tc>
          <w:tcPr>
            <w:tcW w:w="249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8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20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highlight w:val="gree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铝合金百叶窗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highlight w:val="green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2.2*0.9m</w:t>
            </w:r>
          </w:p>
        </w:tc>
        <w:tc>
          <w:tcPr>
            <w:tcW w:w="7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green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m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2"/>
              </w:rPr>
              <w:t>2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green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1211.76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highlight w:val="green"/>
              </w:rPr>
            </w:pPr>
          </w:p>
        </w:tc>
        <w:tc>
          <w:tcPr>
            <w:tcW w:w="140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highlight w:val="green"/>
              </w:rPr>
            </w:pPr>
          </w:p>
        </w:tc>
        <w:tc>
          <w:tcPr>
            <w:tcW w:w="2659" w:type="dxa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highlight w:val="green"/>
              </w:rPr>
            </w:pPr>
          </w:p>
        </w:tc>
        <w:tc>
          <w:tcPr>
            <w:tcW w:w="2496" w:type="dxa"/>
            <w:vMerge w:val="restart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0"/>
                <w:szCs w:val="20"/>
                <w:highlight w:val="gree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、颜色：咖啡色；2、百叶之间的间距为100mm，叶片厚度不小于3mm，边框厚度不小于4.5mm，净流通面积大于75%；3、型材表面进行氧化膜处理，厚度不小于20um；4、叶片倾斜45度，并具有防雨截水功能。5、分批供应，已现场提前通知为准；6、包安装（安装队伍自备安装所需所有材料），具体尺寸需供应商现场复核；7、需经现场选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20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highlight w:val="gree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铝合金百叶窗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highlight w:val="green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1*1.8m</w:t>
            </w:r>
          </w:p>
        </w:tc>
        <w:tc>
          <w:tcPr>
            <w:tcW w:w="7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green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m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2"/>
              </w:rPr>
              <w:t>2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green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1101.6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highlight w:val="green"/>
              </w:rPr>
            </w:pPr>
          </w:p>
        </w:tc>
        <w:tc>
          <w:tcPr>
            <w:tcW w:w="140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highlight w:val="green"/>
              </w:rPr>
            </w:pPr>
          </w:p>
        </w:tc>
        <w:tc>
          <w:tcPr>
            <w:tcW w:w="2659" w:type="dxa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highlight w:val="green"/>
              </w:rPr>
            </w:pPr>
          </w:p>
        </w:tc>
        <w:tc>
          <w:tcPr>
            <w:tcW w:w="2496" w:type="dxa"/>
            <w:vMerge w:val="continue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0"/>
                <w:szCs w:val="20"/>
                <w:highlight w:val="gre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合计＊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0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59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9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5231" w:type="dxa"/>
            <w:gridSpan w:val="1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说明：1、此报价表中带 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 xml:space="preserve">＊ </w:t>
            </w:r>
            <w:r>
              <w:rPr>
                <w:rFonts w:hint="eastAsia" w:ascii="仿宋_GB2312" w:eastAsia="仿宋_GB2312"/>
                <w:sz w:val="24"/>
              </w:rPr>
              <w:t>号为必填项，投标人的所有报价文件均为加盖单位公章的打印件（签名部分除外）。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2、税率栏填写时要具体明确税率及是否为增值税专用发票。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3、报价均为含税（税率必须注明）、含运费价，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含运费、含装卸一票制。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4、本次招标量为本批次供应量，招标数量可能与实际需求量存在偏差。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088" w:type="dxa"/>
            <w:gridSpan w:val="5"/>
            <w:vMerge w:val="restart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投标单位（公章）</w:t>
            </w:r>
          </w:p>
        </w:tc>
        <w:tc>
          <w:tcPr>
            <w:tcW w:w="368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法定代表人或授权委托人</w:t>
            </w:r>
          </w:p>
        </w:tc>
        <w:tc>
          <w:tcPr>
            <w:tcW w:w="4458" w:type="dxa"/>
            <w:gridSpan w:val="3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邮箱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4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sectPr>
      <w:headerReference r:id="rId5" w:type="default"/>
      <w:footerReference r:id="rId6" w:type="default"/>
      <w:pgSz w:w="16838" w:h="11906" w:orient="landscape"/>
      <w:pgMar w:top="1338" w:right="312" w:bottom="1469" w:left="709" w:header="851" w:footer="273" w:gutter="28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ind w:right="360"/>
      <w:jc w:val="right"/>
    </w:pPr>
    <w:r>
      <w:pict>
        <v:shape id="文本框 1025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DOqXm5zwAAAAUB&#10;AAAPAAAAAAAAAAEAIAAAACIAAABkcnMvZG93bnJldi54bWxQSwECFAAUAAAACACHTuJAUJkl07IB&#10;AABOAwAADgAAAAAAAAABACAAAAAeAQAAZHJzL2Uyb0RvYy54bWxQSwUGAAAAAAYABgBZAQAAQgUA&#10;AAAA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1"/>
                  <w:rPr>
                    <w:rStyle w:val="48"/>
                  </w:rPr>
                </w:pPr>
                <w:r>
                  <w:fldChar w:fldCharType="begin"/>
                </w:r>
                <w:r>
                  <w:rPr>
                    <w:rStyle w:val="48"/>
                  </w:rPr>
                  <w:instrText xml:space="preserve">PAGE  </w:instrText>
                </w:r>
                <w:r>
                  <w:fldChar w:fldCharType="separate"/>
                </w:r>
                <w:r>
                  <w:rPr>
                    <w:rStyle w:val="48"/>
                  </w:rPr>
                  <w:t>12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jc w:val="center"/>
    </w:pPr>
  </w:p>
  <w:p>
    <w:pPr>
      <w:pStyle w:val="31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2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3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2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doNotValidateAgainstSchema/>
  <w:doNotDemarcateInvalidXml/>
  <w:hdrShapeDefaults>
    <o:shapelayout v:ext="edit">
      <o:idmap v:ext="edit" data="1"/>
    </o:shapelayout>
  </w:hdrShapeDefaults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FB7"/>
    <w:rsid w:val="00006F21"/>
    <w:rsid w:val="00010EC3"/>
    <w:rsid w:val="000135B4"/>
    <w:rsid w:val="00015D3F"/>
    <w:rsid w:val="00016EEB"/>
    <w:rsid w:val="0001705D"/>
    <w:rsid w:val="00017307"/>
    <w:rsid w:val="00017F6C"/>
    <w:rsid w:val="00020360"/>
    <w:rsid w:val="00020FD6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2FBC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2BCE"/>
    <w:rsid w:val="000732F3"/>
    <w:rsid w:val="000751EA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37C5"/>
    <w:rsid w:val="00093C34"/>
    <w:rsid w:val="00093EA0"/>
    <w:rsid w:val="00096ECD"/>
    <w:rsid w:val="00097732"/>
    <w:rsid w:val="00097962"/>
    <w:rsid w:val="000A10B8"/>
    <w:rsid w:val="000A1422"/>
    <w:rsid w:val="000A2577"/>
    <w:rsid w:val="000A2BC9"/>
    <w:rsid w:val="000A2D5F"/>
    <w:rsid w:val="000A3FBC"/>
    <w:rsid w:val="000A5054"/>
    <w:rsid w:val="000A5C90"/>
    <w:rsid w:val="000A709C"/>
    <w:rsid w:val="000B4D43"/>
    <w:rsid w:val="000B6D9C"/>
    <w:rsid w:val="000B751D"/>
    <w:rsid w:val="000C1AB7"/>
    <w:rsid w:val="000C24CD"/>
    <w:rsid w:val="000C39FF"/>
    <w:rsid w:val="000C434A"/>
    <w:rsid w:val="000C628D"/>
    <w:rsid w:val="000C75BC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A02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33EE"/>
    <w:rsid w:val="00144695"/>
    <w:rsid w:val="0014483A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7021"/>
    <w:rsid w:val="001D017A"/>
    <w:rsid w:val="001D078D"/>
    <w:rsid w:val="001D19F4"/>
    <w:rsid w:val="001D2040"/>
    <w:rsid w:val="001D244F"/>
    <w:rsid w:val="001D27CA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06B"/>
    <w:rsid w:val="001E7F1F"/>
    <w:rsid w:val="001F0E84"/>
    <w:rsid w:val="00201B6E"/>
    <w:rsid w:val="0020299E"/>
    <w:rsid w:val="002055AE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2D05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501"/>
    <w:rsid w:val="00244946"/>
    <w:rsid w:val="00246692"/>
    <w:rsid w:val="00247E18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7B2C"/>
    <w:rsid w:val="00271CA6"/>
    <w:rsid w:val="002745F2"/>
    <w:rsid w:val="00275859"/>
    <w:rsid w:val="0027586B"/>
    <w:rsid w:val="0027618B"/>
    <w:rsid w:val="00281A4C"/>
    <w:rsid w:val="002843A0"/>
    <w:rsid w:val="0028652C"/>
    <w:rsid w:val="0029044A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071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9B8"/>
    <w:rsid w:val="002E4018"/>
    <w:rsid w:val="002E49DB"/>
    <w:rsid w:val="002E7B1C"/>
    <w:rsid w:val="002F5119"/>
    <w:rsid w:val="002F5438"/>
    <w:rsid w:val="00300274"/>
    <w:rsid w:val="00300953"/>
    <w:rsid w:val="00305296"/>
    <w:rsid w:val="00311F89"/>
    <w:rsid w:val="00314A09"/>
    <w:rsid w:val="00314EF8"/>
    <w:rsid w:val="003158F9"/>
    <w:rsid w:val="00321077"/>
    <w:rsid w:val="00321305"/>
    <w:rsid w:val="0032273B"/>
    <w:rsid w:val="00322773"/>
    <w:rsid w:val="003231FA"/>
    <w:rsid w:val="00325519"/>
    <w:rsid w:val="00327907"/>
    <w:rsid w:val="00327B53"/>
    <w:rsid w:val="003306BC"/>
    <w:rsid w:val="00330BB4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1200"/>
    <w:rsid w:val="0035287E"/>
    <w:rsid w:val="00352CBA"/>
    <w:rsid w:val="00353A90"/>
    <w:rsid w:val="00353F6D"/>
    <w:rsid w:val="00354EA0"/>
    <w:rsid w:val="00357085"/>
    <w:rsid w:val="003577D8"/>
    <w:rsid w:val="00360F65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47BF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5862"/>
    <w:rsid w:val="003A76E1"/>
    <w:rsid w:val="003A7D64"/>
    <w:rsid w:val="003A7F72"/>
    <w:rsid w:val="003B2CF4"/>
    <w:rsid w:val="003B318E"/>
    <w:rsid w:val="003B4096"/>
    <w:rsid w:val="003B5893"/>
    <w:rsid w:val="003B5AD4"/>
    <w:rsid w:val="003B772C"/>
    <w:rsid w:val="003C064A"/>
    <w:rsid w:val="003C0E22"/>
    <w:rsid w:val="003C1087"/>
    <w:rsid w:val="003C276F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D7321"/>
    <w:rsid w:val="003E1024"/>
    <w:rsid w:val="003E1536"/>
    <w:rsid w:val="003E386A"/>
    <w:rsid w:val="003E3893"/>
    <w:rsid w:val="003E4458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0D94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665F"/>
    <w:rsid w:val="00446E31"/>
    <w:rsid w:val="00450376"/>
    <w:rsid w:val="0045152A"/>
    <w:rsid w:val="00453AFC"/>
    <w:rsid w:val="0045515F"/>
    <w:rsid w:val="00456453"/>
    <w:rsid w:val="004602F1"/>
    <w:rsid w:val="0046071F"/>
    <w:rsid w:val="00465D28"/>
    <w:rsid w:val="004667BE"/>
    <w:rsid w:val="00471FF6"/>
    <w:rsid w:val="00475FF4"/>
    <w:rsid w:val="0047627A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5557"/>
    <w:rsid w:val="00495D9D"/>
    <w:rsid w:val="004976A8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3052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6C93"/>
    <w:rsid w:val="00522A82"/>
    <w:rsid w:val="00522FD7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0B2"/>
    <w:rsid w:val="00554645"/>
    <w:rsid w:val="005616FB"/>
    <w:rsid w:val="00561C25"/>
    <w:rsid w:val="00565D20"/>
    <w:rsid w:val="00566DC9"/>
    <w:rsid w:val="00570558"/>
    <w:rsid w:val="0057380C"/>
    <w:rsid w:val="00573DF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7384"/>
    <w:rsid w:val="005A6C22"/>
    <w:rsid w:val="005A7263"/>
    <w:rsid w:val="005B33BD"/>
    <w:rsid w:val="005B34D0"/>
    <w:rsid w:val="005B4930"/>
    <w:rsid w:val="005C0551"/>
    <w:rsid w:val="005C11B4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2CFA"/>
    <w:rsid w:val="006044A9"/>
    <w:rsid w:val="006047B4"/>
    <w:rsid w:val="00605113"/>
    <w:rsid w:val="006057CE"/>
    <w:rsid w:val="00610614"/>
    <w:rsid w:val="00610B4F"/>
    <w:rsid w:val="00612D05"/>
    <w:rsid w:val="0062241A"/>
    <w:rsid w:val="0062384B"/>
    <w:rsid w:val="006250DB"/>
    <w:rsid w:val="00626D52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3DF2"/>
    <w:rsid w:val="00693E8B"/>
    <w:rsid w:val="006950B5"/>
    <w:rsid w:val="006A1211"/>
    <w:rsid w:val="006A3B1E"/>
    <w:rsid w:val="006A64B4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C634E"/>
    <w:rsid w:val="006D0029"/>
    <w:rsid w:val="006D1AA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574"/>
    <w:rsid w:val="00713C60"/>
    <w:rsid w:val="00713FD3"/>
    <w:rsid w:val="007162C5"/>
    <w:rsid w:val="007171ED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45AD"/>
    <w:rsid w:val="00754DF5"/>
    <w:rsid w:val="00756472"/>
    <w:rsid w:val="007568D6"/>
    <w:rsid w:val="007576EA"/>
    <w:rsid w:val="00757E70"/>
    <w:rsid w:val="007603C6"/>
    <w:rsid w:val="00761625"/>
    <w:rsid w:val="00761AE2"/>
    <w:rsid w:val="00765A2C"/>
    <w:rsid w:val="007669FB"/>
    <w:rsid w:val="00770B1C"/>
    <w:rsid w:val="007716BF"/>
    <w:rsid w:val="007732ED"/>
    <w:rsid w:val="00775451"/>
    <w:rsid w:val="007758A2"/>
    <w:rsid w:val="007762D0"/>
    <w:rsid w:val="00777208"/>
    <w:rsid w:val="00777795"/>
    <w:rsid w:val="0078068F"/>
    <w:rsid w:val="00786145"/>
    <w:rsid w:val="007864A8"/>
    <w:rsid w:val="007866B5"/>
    <w:rsid w:val="00790E2E"/>
    <w:rsid w:val="007915E3"/>
    <w:rsid w:val="0079392E"/>
    <w:rsid w:val="0079521D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635D"/>
    <w:rsid w:val="007B6896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435"/>
    <w:rsid w:val="008E6979"/>
    <w:rsid w:val="008E6D2A"/>
    <w:rsid w:val="008E7DDC"/>
    <w:rsid w:val="008F0630"/>
    <w:rsid w:val="008F1528"/>
    <w:rsid w:val="008F3037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36933"/>
    <w:rsid w:val="00942D1A"/>
    <w:rsid w:val="009473D2"/>
    <w:rsid w:val="0095118F"/>
    <w:rsid w:val="00954998"/>
    <w:rsid w:val="0095756F"/>
    <w:rsid w:val="00960D55"/>
    <w:rsid w:val="00961282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6319"/>
    <w:rsid w:val="00990EF7"/>
    <w:rsid w:val="00994380"/>
    <w:rsid w:val="009962C2"/>
    <w:rsid w:val="009A1323"/>
    <w:rsid w:val="009A21F1"/>
    <w:rsid w:val="009A3211"/>
    <w:rsid w:val="009A364B"/>
    <w:rsid w:val="009A5BB0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6FC"/>
    <w:rsid w:val="00A57F03"/>
    <w:rsid w:val="00A60385"/>
    <w:rsid w:val="00A626B1"/>
    <w:rsid w:val="00A67A12"/>
    <w:rsid w:val="00A70041"/>
    <w:rsid w:val="00A703EF"/>
    <w:rsid w:val="00A7091D"/>
    <w:rsid w:val="00A72176"/>
    <w:rsid w:val="00A758BF"/>
    <w:rsid w:val="00A75D6F"/>
    <w:rsid w:val="00A7606E"/>
    <w:rsid w:val="00A763D9"/>
    <w:rsid w:val="00A80F4C"/>
    <w:rsid w:val="00A81946"/>
    <w:rsid w:val="00A905C4"/>
    <w:rsid w:val="00A90615"/>
    <w:rsid w:val="00A9086F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240"/>
    <w:rsid w:val="00AD3B9C"/>
    <w:rsid w:val="00AD4A97"/>
    <w:rsid w:val="00AD55FF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5C0"/>
    <w:rsid w:val="00AF4C29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27772"/>
    <w:rsid w:val="00B330E9"/>
    <w:rsid w:val="00B34C64"/>
    <w:rsid w:val="00B34F04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18D4"/>
    <w:rsid w:val="00B62F4E"/>
    <w:rsid w:val="00B65A94"/>
    <w:rsid w:val="00B66CB7"/>
    <w:rsid w:val="00B66E0C"/>
    <w:rsid w:val="00B67A6D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A7E6E"/>
    <w:rsid w:val="00BB0F6C"/>
    <w:rsid w:val="00BB3912"/>
    <w:rsid w:val="00BB4269"/>
    <w:rsid w:val="00BB4812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E01"/>
    <w:rsid w:val="00BE209C"/>
    <w:rsid w:val="00BE31E1"/>
    <w:rsid w:val="00BE411E"/>
    <w:rsid w:val="00BE4F37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17C6A"/>
    <w:rsid w:val="00C217C7"/>
    <w:rsid w:val="00C232C3"/>
    <w:rsid w:val="00C2547C"/>
    <w:rsid w:val="00C27B94"/>
    <w:rsid w:val="00C31F21"/>
    <w:rsid w:val="00C346EC"/>
    <w:rsid w:val="00C36FBD"/>
    <w:rsid w:val="00C40DBA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39B8"/>
    <w:rsid w:val="00C65013"/>
    <w:rsid w:val="00C6632D"/>
    <w:rsid w:val="00C6761C"/>
    <w:rsid w:val="00C70160"/>
    <w:rsid w:val="00C7275D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4E50"/>
    <w:rsid w:val="00C95E87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483D"/>
    <w:rsid w:val="00CC4C4A"/>
    <w:rsid w:val="00CC5851"/>
    <w:rsid w:val="00CC774B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3B8C"/>
    <w:rsid w:val="00D557D5"/>
    <w:rsid w:val="00D557EA"/>
    <w:rsid w:val="00D56AE6"/>
    <w:rsid w:val="00D57A86"/>
    <w:rsid w:val="00D57C5D"/>
    <w:rsid w:val="00D606A2"/>
    <w:rsid w:val="00D6217B"/>
    <w:rsid w:val="00D621FC"/>
    <w:rsid w:val="00D62E08"/>
    <w:rsid w:val="00D65D41"/>
    <w:rsid w:val="00D71292"/>
    <w:rsid w:val="00D74162"/>
    <w:rsid w:val="00D74510"/>
    <w:rsid w:val="00D8055A"/>
    <w:rsid w:val="00D80755"/>
    <w:rsid w:val="00D80EC6"/>
    <w:rsid w:val="00D8177F"/>
    <w:rsid w:val="00D826FE"/>
    <w:rsid w:val="00D834B1"/>
    <w:rsid w:val="00D90E3C"/>
    <w:rsid w:val="00D91AC2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F8F"/>
    <w:rsid w:val="00DD1085"/>
    <w:rsid w:val="00DD1FCD"/>
    <w:rsid w:val="00DD3176"/>
    <w:rsid w:val="00DD3C79"/>
    <w:rsid w:val="00DD4300"/>
    <w:rsid w:val="00DD5147"/>
    <w:rsid w:val="00DD53EB"/>
    <w:rsid w:val="00DD62ED"/>
    <w:rsid w:val="00DD6FC4"/>
    <w:rsid w:val="00DD7021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806"/>
    <w:rsid w:val="00DF7862"/>
    <w:rsid w:val="00E005EA"/>
    <w:rsid w:val="00E012B7"/>
    <w:rsid w:val="00E03F69"/>
    <w:rsid w:val="00E04556"/>
    <w:rsid w:val="00E063FD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4BDB"/>
    <w:rsid w:val="00E75605"/>
    <w:rsid w:val="00E75BBE"/>
    <w:rsid w:val="00E77CD7"/>
    <w:rsid w:val="00E80DE2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33AD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24C8F"/>
    <w:rsid w:val="00F30D00"/>
    <w:rsid w:val="00F31506"/>
    <w:rsid w:val="00F32081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95F"/>
    <w:rsid w:val="00F76D51"/>
    <w:rsid w:val="00F80FBC"/>
    <w:rsid w:val="00F83007"/>
    <w:rsid w:val="00F9202D"/>
    <w:rsid w:val="00F949C9"/>
    <w:rsid w:val="00F97F91"/>
    <w:rsid w:val="00FA069B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4295"/>
    <w:rsid w:val="00FC7A25"/>
    <w:rsid w:val="00FD0EE2"/>
    <w:rsid w:val="00FD2D21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2779E4"/>
    <w:rsid w:val="01AF2C21"/>
    <w:rsid w:val="02276E2E"/>
    <w:rsid w:val="048A48C3"/>
    <w:rsid w:val="05BF33B5"/>
    <w:rsid w:val="071C395D"/>
    <w:rsid w:val="0A5C7401"/>
    <w:rsid w:val="0A884E47"/>
    <w:rsid w:val="0B2B537E"/>
    <w:rsid w:val="0C6241B2"/>
    <w:rsid w:val="0D2B4E23"/>
    <w:rsid w:val="0E876D2F"/>
    <w:rsid w:val="0EC82FD7"/>
    <w:rsid w:val="0EEA79E8"/>
    <w:rsid w:val="0F791AC7"/>
    <w:rsid w:val="10181623"/>
    <w:rsid w:val="10BD1543"/>
    <w:rsid w:val="11A13D65"/>
    <w:rsid w:val="12A820AD"/>
    <w:rsid w:val="1423718A"/>
    <w:rsid w:val="148531F5"/>
    <w:rsid w:val="148F6EC5"/>
    <w:rsid w:val="17D86D23"/>
    <w:rsid w:val="18AF15FD"/>
    <w:rsid w:val="1A943009"/>
    <w:rsid w:val="1B33713D"/>
    <w:rsid w:val="1B59783C"/>
    <w:rsid w:val="1BBF797C"/>
    <w:rsid w:val="1DE32FF0"/>
    <w:rsid w:val="1DEE2CCA"/>
    <w:rsid w:val="2037683E"/>
    <w:rsid w:val="21A715C9"/>
    <w:rsid w:val="223E7710"/>
    <w:rsid w:val="23983135"/>
    <w:rsid w:val="23E90160"/>
    <w:rsid w:val="25590EC9"/>
    <w:rsid w:val="26224809"/>
    <w:rsid w:val="26A26CEB"/>
    <w:rsid w:val="285E7005"/>
    <w:rsid w:val="299D4A4C"/>
    <w:rsid w:val="2A1902C2"/>
    <w:rsid w:val="2A3653AE"/>
    <w:rsid w:val="2AB020F1"/>
    <w:rsid w:val="2BB548BC"/>
    <w:rsid w:val="2BE80223"/>
    <w:rsid w:val="2C995D0F"/>
    <w:rsid w:val="2CCF45EF"/>
    <w:rsid w:val="2D3E7816"/>
    <w:rsid w:val="2E8E540F"/>
    <w:rsid w:val="2ECA304F"/>
    <w:rsid w:val="302E3043"/>
    <w:rsid w:val="30D974B7"/>
    <w:rsid w:val="31D7157D"/>
    <w:rsid w:val="333663C1"/>
    <w:rsid w:val="336F7BD6"/>
    <w:rsid w:val="33F35609"/>
    <w:rsid w:val="343C1399"/>
    <w:rsid w:val="34634E47"/>
    <w:rsid w:val="346848DB"/>
    <w:rsid w:val="35484C10"/>
    <w:rsid w:val="354F3A99"/>
    <w:rsid w:val="357B16F3"/>
    <w:rsid w:val="36050FAB"/>
    <w:rsid w:val="371866BF"/>
    <w:rsid w:val="3989643E"/>
    <w:rsid w:val="3A3173ED"/>
    <w:rsid w:val="3AD10001"/>
    <w:rsid w:val="3B076549"/>
    <w:rsid w:val="3C5B75D3"/>
    <w:rsid w:val="3C7823C8"/>
    <w:rsid w:val="3DBC2399"/>
    <w:rsid w:val="3DCC4487"/>
    <w:rsid w:val="3E474521"/>
    <w:rsid w:val="3EB10A10"/>
    <w:rsid w:val="3EC82979"/>
    <w:rsid w:val="41B46B47"/>
    <w:rsid w:val="424B79E0"/>
    <w:rsid w:val="434963F7"/>
    <w:rsid w:val="439F612A"/>
    <w:rsid w:val="441344E9"/>
    <w:rsid w:val="445E00D1"/>
    <w:rsid w:val="44842956"/>
    <w:rsid w:val="44B922E9"/>
    <w:rsid w:val="45DC2779"/>
    <w:rsid w:val="465E02D2"/>
    <w:rsid w:val="46841C18"/>
    <w:rsid w:val="46BC5513"/>
    <w:rsid w:val="47F15155"/>
    <w:rsid w:val="495D238E"/>
    <w:rsid w:val="499D4ACB"/>
    <w:rsid w:val="4E822997"/>
    <w:rsid w:val="4E86355F"/>
    <w:rsid w:val="4ED20DFA"/>
    <w:rsid w:val="4F0F5DA2"/>
    <w:rsid w:val="4F397E6D"/>
    <w:rsid w:val="4F54161A"/>
    <w:rsid w:val="4F8F4455"/>
    <w:rsid w:val="504C2BE7"/>
    <w:rsid w:val="51B50E5A"/>
    <w:rsid w:val="53DE502C"/>
    <w:rsid w:val="554830C1"/>
    <w:rsid w:val="56B4262E"/>
    <w:rsid w:val="57152ED4"/>
    <w:rsid w:val="576F2EA8"/>
    <w:rsid w:val="5807041D"/>
    <w:rsid w:val="583F79D3"/>
    <w:rsid w:val="58691989"/>
    <w:rsid w:val="58F960F8"/>
    <w:rsid w:val="599F0979"/>
    <w:rsid w:val="5B5B72F0"/>
    <w:rsid w:val="5C1E1084"/>
    <w:rsid w:val="5C805F73"/>
    <w:rsid w:val="5EE01EF7"/>
    <w:rsid w:val="60F035C2"/>
    <w:rsid w:val="62274C0B"/>
    <w:rsid w:val="63E45615"/>
    <w:rsid w:val="644A2A1E"/>
    <w:rsid w:val="670209AB"/>
    <w:rsid w:val="681960ED"/>
    <w:rsid w:val="69AD4D95"/>
    <w:rsid w:val="69B54174"/>
    <w:rsid w:val="6A315ABB"/>
    <w:rsid w:val="6A660AE8"/>
    <w:rsid w:val="6A87598F"/>
    <w:rsid w:val="6C55155E"/>
    <w:rsid w:val="6E1906F3"/>
    <w:rsid w:val="703849D5"/>
    <w:rsid w:val="711712EF"/>
    <w:rsid w:val="71F33817"/>
    <w:rsid w:val="74424C37"/>
    <w:rsid w:val="74B57A97"/>
    <w:rsid w:val="77C81C4C"/>
    <w:rsid w:val="793439F5"/>
    <w:rsid w:val="796E3D99"/>
    <w:rsid w:val="79ED6ADC"/>
    <w:rsid w:val="7A5A739A"/>
    <w:rsid w:val="7B8D7C88"/>
    <w:rsid w:val="7C252C88"/>
    <w:rsid w:val="7DA9224E"/>
    <w:rsid w:val="7E49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8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0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2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2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8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3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6">
    <w:name w:val="Default Paragraph Font"/>
    <w:semiHidden/>
    <w:unhideWhenUsed/>
    <w:qFormat/>
    <w:uiPriority w:val="1"/>
  </w:style>
  <w:style w:type="table" w:default="1" w:styleId="5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subject"/>
    <w:basedOn w:val="12"/>
    <w:next w:val="12"/>
    <w:qFormat/>
    <w:uiPriority w:val="0"/>
    <w:rPr>
      <w:b/>
      <w:bCs/>
    </w:rPr>
  </w:style>
  <w:style w:type="paragraph" w:styleId="12">
    <w:name w:val="annotation text"/>
    <w:basedOn w:val="1"/>
    <w:link w:val="71"/>
    <w:qFormat/>
    <w:uiPriority w:val="0"/>
    <w:pPr>
      <w:jc w:val="left"/>
    </w:pPr>
  </w:style>
  <w:style w:type="paragraph" w:styleId="13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4">
    <w:name w:val="Normal Indent"/>
    <w:basedOn w:val="1"/>
    <w:link w:val="91"/>
    <w:qFormat/>
    <w:uiPriority w:val="0"/>
    <w:pPr>
      <w:ind w:firstLine="420" w:firstLineChars="200"/>
    </w:pPr>
  </w:style>
  <w:style w:type="paragraph" w:styleId="15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6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7">
    <w:name w:val="Document Map"/>
    <w:basedOn w:val="1"/>
    <w:link w:val="76"/>
    <w:qFormat/>
    <w:uiPriority w:val="0"/>
    <w:pPr>
      <w:shd w:val="clear" w:color="auto" w:fill="000080"/>
    </w:pPr>
  </w:style>
  <w:style w:type="paragraph" w:styleId="18">
    <w:name w:val="Body Text 3"/>
    <w:basedOn w:val="1"/>
    <w:qFormat/>
    <w:uiPriority w:val="0"/>
    <w:rPr>
      <w:rFonts w:ascii="宋体"/>
      <w:sz w:val="24"/>
      <w:szCs w:val="20"/>
    </w:rPr>
  </w:style>
  <w:style w:type="paragraph" w:styleId="19">
    <w:name w:val="Body Text"/>
    <w:basedOn w:val="20"/>
    <w:next w:val="20"/>
    <w:link w:val="90"/>
    <w:qFormat/>
    <w:uiPriority w:val="0"/>
    <w:pPr>
      <w:spacing w:after="120"/>
    </w:pPr>
  </w:style>
  <w:style w:type="paragraph" w:customStyle="1" w:styleId="2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21">
    <w:name w:val="Body Text Indent"/>
    <w:basedOn w:val="1"/>
    <w:qFormat/>
    <w:uiPriority w:val="0"/>
    <w:pPr>
      <w:spacing w:after="120"/>
      <w:ind w:left="420" w:leftChars="200"/>
    </w:pPr>
  </w:style>
  <w:style w:type="paragraph" w:styleId="22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3">
    <w:name w:val="index 4"/>
    <w:basedOn w:val="1"/>
    <w:next w:val="1"/>
    <w:qFormat/>
    <w:uiPriority w:val="0"/>
    <w:pPr>
      <w:ind w:left="600" w:leftChars="600"/>
    </w:pPr>
  </w:style>
  <w:style w:type="paragraph" w:styleId="24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5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6">
    <w:name w:val="Plain Text"/>
    <w:basedOn w:val="1"/>
    <w:link w:val="97"/>
    <w:qFormat/>
    <w:uiPriority w:val="0"/>
    <w:rPr>
      <w:rFonts w:ascii="Courier New" w:hAnsi="Courier New"/>
      <w:szCs w:val="20"/>
    </w:rPr>
  </w:style>
  <w:style w:type="paragraph" w:styleId="27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8">
    <w:name w:val="Date"/>
    <w:basedOn w:val="1"/>
    <w:next w:val="1"/>
    <w:qFormat/>
    <w:uiPriority w:val="0"/>
    <w:rPr>
      <w:sz w:val="24"/>
      <w:szCs w:val="20"/>
    </w:rPr>
  </w:style>
  <w:style w:type="paragraph" w:styleId="29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30">
    <w:name w:val="Balloon Text"/>
    <w:basedOn w:val="1"/>
    <w:qFormat/>
    <w:uiPriority w:val="0"/>
    <w:rPr>
      <w:sz w:val="18"/>
      <w:szCs w:val="18"/>
    </w:rPr>
  </w:style>
  <w:style w:type="paragraph" w:styleId="3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2">
    <w:name w:val="header"/>
    <w:basedOn w:val="1"/>
    <w:link w:val="8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3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4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5">
    <w:name w:val="Subtitle"/>
    <w:basedOn w:val="1"/>
    <w:next w:val="1"/>
    <w:link w:val="82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6">
    <w:name w:val="footnote text"/>
    <w:basedOn w:val="1"/>
    <w:qFormat/>
    <w:uiPriority w:val="0"/>
    <w:rPr>
      <w:sz w:val="20"/>
      <w:szCs w:val="20"/>
    </w:rPr>
  </w:style>
  <w:style w:type="paragraph" w:styleId="37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8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9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40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41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2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4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5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character" w:styleId="47">
    <w:name w:val="Strong"/>
    <w:qFormat/>
    <w:uiPriority w:val="22"/>
    <w:rPr>
      <w:b/>
      <w:bCs/>
    </w:rPr>
  </w:style>
  <w:style w:type="character" w:styleId="48">
    <w:name w:val="page number"/>
    <w:basedOn w:val="46"/>
    <w:qFormat/>
    <w:uiPriority w:val="0"/>
  </w:style>
  <w:style w:type="character" w:styleId="49">
    <w:name w:val="FollowedHyperlink"/>
    <w:qFormat/>
    <w:uiPriority w:val="0"/>
    <w:rPr>
      <w:color w:val="000000"/>
      <w:u w:val="none"/>
    </w:rPr>
  </w:style>
  <w:style w:type="character" w:styleId="50">
    <w:name w:val="Emphasis"/>
    <w:qFormat/>
    <w:uiPriority w:val="0"/>
    <w:rPr>
      <w:i/>
      <w:iCs/>
    </w:rPr>
  </w:style>
  <w:style w:type="character" w:styleId="51">
    <w:name w:val="Hyperlink"/>
    <w:qFormat/>
    <w:uiPriority w:val="0"/>
    <w:rPr>
      <w:color w:val="000000"/>
      <w:u w:val="none"/>
    </w:rPr>
  </w:style>
  <w:style w:type="character" w:styleId="52">
    <w:name w:val="annotation reference"/>
    <w:qFormat/>
    <w:uiPriority w:val="0"/>
    <w:rPr>
      <w:sz w:val="21"/>
      <w:szCs w:val="21"/>
    </w:rPr>
  </w:style>
  <w:style w:type="character" w:styleId="53">
    <w:name w:val="footnote reference"/>
    <w:qFormat/>
    <w:uiPriority w:val="0"/>
    <w:rPr>
      <w:vertAlign w:val="superscript"/>
    </w:rPr>
  </w:style>
  <w:style w:type="table" w:styleId="55">
    <w:name w:val="Table Grid"/>
    <w:basedOn w:val="5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6">
    <w:name w:val="textcontents"/>
    <w:qFormat/>
    <w:uiPriority w:val="0"/>
    <w:rPr>
      <w:rFonts w:cs="Times New Roman"/>
    </w:rPr>
  </w:style>
  <w:style w:type="character" w:customStyle="1" w:styleId="57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4"/>
    <w:link w:val="69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3"/>
    <w:next w:val="23"/>
    <w:link w:val="72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7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2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5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qFormat/>
    <w:uiPriority w:val="0"/>
    <w:rPr>
      <w:kern w:val="2"/>
      <w:sz w:val="18"/>
      <w:szCs w:val="18"/>
    </w:rPr>
  </w:style>
  <w:style w:type="character" w:customStyle="1" w:styleId="86">
    <w:name w:val="书籍标题1"/>
    <w:qFormat/>
    <w:uiPriority w:val="0"/>
    <w:rPr>
      <w:b/>
      <w:bCs/>
      <w:smallCaps/>
      <w:spacing w:val="5"/>
    </w:rPr>
  </w:style>
  <w:style w:type="character" w:customStyle="1" w:styleId="87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9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4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6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qFormat/>
    <w:uiPriority w:val="0"/>
    <w:rPr>
      <w:i/>
      <w:iCs/>
      <w:color w:val="808080"/>
    </w:rPr>
  </w:style>
  <w:style w:type="character" w:customStyle="1" w:styleId="103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6"/>
    <w:qFormat/>
    <w:uiPriority w:val="0"/>
  </w:style>
  <w:style w:type="character" w:customStyle="1" w:styleId="105">
    <w:name w:val="font161"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6"/>
    <w:qFormat/>
    <w:uiPriority w:val="0"/>
  </w:style>
  <w:style w:type="character" w:customStyle="1" w:styleId="107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4"/>
    <w:qFormat/>
    <w:uiPriority w:val="0"/>
    <w:rPr>
      <w:rFonts w:eastAsia="Arial"/>
    </w:rPr>
  </w:style>
  <w:style w:type="paragraph" w:customStyle="1" w:styleId="110">
    <w:name w:val="样式4"/>
    <w:basedOn w:val="4"/>
    <w:qFormat/>
    <w:uiPriority w:val="0"/>
    <w:rPr>
      <w:rFonts w:eastAsia="Arial"/>
    </w:rPr>
  </w:style>
  <w:style w:type="paragraph" w:customStyle="1" w:styleId="111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qFormat/>
    <w:uiPriority w:val="0"/>
  </w:style>
  <w:style w:type="paragraph" w:customStyle="1" w:styleId="115">
    <w:name w:val="样式2"/>
    <w:basedOn w:val="4"/>
    <w:qFormat/>
    <w:uiPriority w:val="0"/>
  </w:style>
  <w:style w:type="paragraph" w:customStyle="1" w:styleId="116">
    <w:name w:val="XW编号正文"/>
    <w:basedOn w:val="117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21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2"/>
    <w:next w:val="1"/>
    <w:qFormat/>
    <w:uiPriority w:val="0"/>
    <w:pPr>
      <w:outlineLvl w:val="9"/>
    </w:pPr>
  </w:style>
  <w:style w:type="paragraph" w:customStyle="1" w:styleId="121">
    <w:name w:val="A2"/>
    <w:basedOn w:val="26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qFormat/>
    <w:uiPriority w:val="0"/>
    <w:rPr>
      <w:sz w:val="21"/>
    </w:rPr>
  </w:style>
  <w:style w:type="paragraph" w:customStyle="1" w:styleId="124">
    <w:name w:val="A1"/>
    <w:basedOn w:val="26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4"/>
    <w:qFormat/>
    <w:uiPriority w:val="0"/>
    <w:rPr>
      <w:rFonts w:eastAsia="Arial"/>
    </w:rPr>
  </w:style>
  <w:style w:type="paragraph" w:customStyle="1" w:styleId="134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qFormat/>
    <w:uiPriority w:val="0"/>
  </w:style>
  <w:style w:type="paragraph" w:customStyle="1" w:styleId="141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2"/>
    <w:next w:val="122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6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6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7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8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9">
    <w:name w:val="1"/>
    <w:basedOn w:val="1"/>
    <w:next w:val="1"/>
    <w:qFormat/>
    <w:uiPriority w:val="0"/>
  </w:style>
  <w:style w:type="paragraph" w:customStyle="1" w:styleId="150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1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2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中国微软</Company>
  <Pages>14</Pages>
  <Words>737</Words>
  <Characters>4205</Characters>
  <Lines>35</Lines>
  <Paragraphs>9</Paragraphs>
  <TotalTime>48</TotalTime>
  <ScaleCrop>false</ScaleCrop>
  <LinksUpToDate>false</LinksUpToDate>
  <CharactersWithSpaces>4933</CharactersWithSpaces>
  <Application>WPS Office_10.8.2.6949_F1E327BC-269C-435d-A152-05C5408002CA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2022-10-25T11:25:00Z</dcterms:created>
  <dc:creator>e510</dc:creator>
  <cp:lastModifiedBy>Administrator</cp:lastModifiedBy>
  <cp:lastPrinted>2019-05-06T09:43:00Z</cp:lastPrinted>
  <dcterms:modified xsi:type="dcterms:W3CDTF">2023-07-14T08:30:53Z</dcterms:modified>
  <dc:title>中华人民共和国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2052-10.8.2.6949</vt:lpwstr>
  </property>
  <property fmtid="{D5CDD505-2E9C-101B-9397-08002B2CF9AE}" pid="3" name="ICV">
    <vt:lpwstr>A613DD1B75C44F42BCCFD94376B39B69</vt:lpwstr>
  </property>
</Properties>
</file>