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铜山金磊项目商品混凝土</w:t>
      </w:r>
      <w:r>
        <w:rPr>
          <w:rFonts w:hint="eastAsia" w:ascii="仿宋" w:hAnsi="仿宋" w:eastAsia="仿宋" w:cs="仿宋"/>
          <w:b/>
          <w:bCs/>
          <w:kern w:val="1"/>
          <w:sz w:val="44"/>
          <w:szCs w:val="44"/>
          <w:u w:val="single"/>
        </w:rPr>
        <w:t>Ⅱ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3105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  <w:lang w:eastAsia="zh-CN"/>
        </w:rPr>
        <w:t>肆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第二事业部铜山金磊项目商品混凝土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3105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预拌混凝土</w:t>
      </w:r>
      <w:r>
        <w:rPr>
          <w:rFonts w:ascii="仿宋" w:hAnsi="仿宋" w:eastAsia="仿宋" w:cs="仿宋_GB2312"/>
          <w:sz w:val="28"/>
          <w:szCs w:val="28"/>
          <w:u w:val="singl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T1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902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-201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计划</w:t>
      </w:r>
      <w:r>
        <w:rPr>
          <w:rFonts w:hint="eastAsia" w:ascii="仿宋" w:hAnsi="仿宋" w:eastAsia="仿宋" w:cs="仿宋_GB2312"/>
          <w:sz w:val="28"/>
          <w:szCs w:val="28"/>
        </w:rPr>
        <w:t>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相关要求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（1）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</w:rPr>
        <w:t>本次报价按池州市贵池区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  <w:lang w:eastAsia="zh-CN"/>
        </w:rPr>
        <w:t>当月含税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</w:rPr>
        <w:t>信息价下浮百分数。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（2）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（1）投标人法定代表人应</w:t>
      </w:r>
      <w:r>
        <w:rPr>
          <w:rFonts w:hint="eastAsia" w:ascii="仿宋" w:hAnsi="仿宋" w:eastAsia="仿宋" w:cs="仿宋"/>
          <w:sz w:val="28"/>
          <w:szCs w:val="28"/>
        </w:rPr>
        <w:t>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铜山金磊项目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收货人：夏光慧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13865624489。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spacing w:line="312" w:lineRule="auto"/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招标人每批次需用混凝土时,必须提前一天用书面订单、传真或电话通知中标人，日所需混凝土总量超过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500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>时,须提前二天通知中标人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应根据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的通知要求，及时安排生产和发货，并应保证混凝土运输的连续性。如遇特殊原因，预计无法按照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要求供货时，必须在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供货通知发出后2小时内通知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，在征得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同意后可暂停供货。如未征得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同意，即视为延期交货。每延期交货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天，按照延误情况的轻重，对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处以2000-5000元的罚款，累计计算。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发现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供货数量不足或提供不合格产品，均视同延期交货。对发生两次延期交货的，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有权自行安排其他供应商供货，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不得以任何理由阻拦或变相阻拦。因以上原因给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造成的质量问题、工期延误、差价等情况（包括但不限于以上情况），同时，包括外协和分包误工费、业主及监理等有关部门对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的罚款等（包括但不限于以上情况）的所有损失均由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承担。延期超过7天的，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有权单方面解除合同。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每批次实际需用量多于或少于预订数量的，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招标人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应在本批次混凝土浇筑结束前2小时通知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在收到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招标人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通知后，应及时调整发货数量，以免造成双方损失。如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招标人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实际用量多于预订数量，又未及时通知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，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不承担因此无法保证预拌混凝土运输连续性所导致的一切后果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每次供货超50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限补方一次，如需第二次补方应支付运输车辆空置燃油费，按1元/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>.km计算；不足50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>供货量的每月累计不得超过2次，超出的次数按500元/次收取出泵费。招标人按送货方单进行验收，并有权随时抽查,如抽查结果在负差3％以内的，属允许负差;如抽查结果在负差3%以上的，则当日所供所有混凝土按抽查最大负差百分比扣除结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。如当月数量抽查负差3％以上达三次的（含三次），招标人将按当月所供货物总金额的10%进行罚款并按抽查最大负差百分百比扣除结算当月混凝土数量，同时有权解除合同。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招标人保留对已浇铸完工混凝土构件方量进行复核的权利，如偏差大于5%，双方需进行复核。如确定为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责任，则扣除超出部分的方量。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对施工浇筑过程中混凝士的跑模、涨模、尾车中所要混凝土数量不准所造成</w:t>
      </w:r>
      <w:r>
        <w:rPr>
          <w:rFonts w:hint="eastAsia" w:ascii="仿宋" w:hAnsi="仿宋" w:eastAsia="仿宋" w:cs="仿宋"/>
          <w:sz w:val="28"/>
          <w:szCs w:val="28"/>
          <w:u w:val="single"/>
        </w:rPr>
        <w:t>的损失应由招标人承担。招标人在《订货单》中需写明工程名称、浇筑时间、浇筑部位、混凝土强度等级、坍落度要求、数量及其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它特殊技术要求,以便中标人及时备料安排生产和安排运输设备。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3105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2809"/>
        <w:gridCol w:w="697"/>
        <w:gridCol w:w="1103"/>
        <w:gridCol w:w="859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报价（按池州市贵池区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含税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信息价下浮百分数）＊</w:t>
            </w:r>
          </w:p>
        </w:tc>
        <w:tc>
          <w:tcPr>
            <w:tcW w:w="265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预拌混凝土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C15/C20/C25/C30/C35/C40(泵送)等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6000</w:t>
            </w: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抗渗P8、P6、抗折、早强、缓凝、膨胀、细石等另行说明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费、含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装卸一票制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60F035C2"/>
    <w:rsid w:val="62274C0B"/>
    <w:rsid w:val="63E45615"/>
    <w:rsid w:val="644A2A1E"/>
    <w:rsid w:val="670209AB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  <w:rsid w:val="7E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1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2023-07-11T03:05:59Z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