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仿宋"/>
          <w:b/>
          <w:bCs/>
          <w:kern w:val="1"/>
          <w:sz w:val="44"/>
          <w:szCs w:val="44"/>
          <w:u w:val="single"/>
          <w:lang w:val="en-US" w:eastAsia="zh-CN"/>
        </w:rPr>
      </w:pPr>
      <w:r>
        <w:rPr>
          <w:rFonts w:hint="eastAsia" w:ascii="仿宋" w:hAnsi="仿宋" w:eastAsia="仿宋" w:cs="宋体"/>
          <w:b/>
          <w:bCs/>
          <w:kern w:val="1"/>
          <w:sz w:val="44"/>
          <w:szCs w:val="44"/>
          <w:u w:val="single"/>
        </w:rPr>
        <w:t>第二事业部有色研发中心项目灯具</w:t>
      </w:r>
      <w:r>
        <w:rPr>
          <w:rFonts w:hint="eastAsia" w:ascii="仿宋" w:hAnsi="仿宋" w:eastAsia="仿宋" w:cs="仿宋"/>
          <w:b/>
          <w:bCs/>
          <w:kern w:val="1"/>
          <w:sz w:val="44"/>
          <w:szCs w:val="44"/>
          <w:u w:val="single"/>
        </w:rPr>
        <w:t>Ⅱ</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TGJA-WZ-202398</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2023年6月30日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2023年6月30日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2023年7月6日9:00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2023年7月6日9:00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2023年7月5日12:00止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壹仟元整；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铜陵铜冠建安公司第二事业部研发中心灯具</w:t>
      </w:r>
      <w:r>
        <w:rPr>
          <w:rFonts w:hint="eastAsia" w:ascii="仿宋" w:hAnsi="仿宋" w:eastAsia="仿宋" w:cs="仿宋"/>
          <w:b/>
          <w:bCs/>
          <w:sz w:val="28"/>
          <w:szCs w:val="28"/>
          <w:u w:val="single"/>
        </w:rPr>
        <w:t>Ⅱ</w:t>
      </w:r>
      <w:r>
        <w:rPr>
          <w:rFonts w:hint="eastAsia" w:ascii="仿宋" w:hAnsi="仿宋" w:eastAsia="仿宋" w:cs="仿宋_GB2312"/>
          <w:b/>
          <w:bCs/>
          <w:sz w:val="28"/>
          <w:szCs w:val="28"/>
          <w:u w:val="single"/>
        </w:rPr>
        <w:t>项目</w:t>
      </w:r>
      <w:r>
        <w:rPr>
          <w:rFonts w:hint="eastAsia" w:ascii="仿宋" w:hAnsi="仿宋" w:eastAsia="仿宋" w:cs="仿宋_GB2312"/>
          <w:b/>
          <w:bCs/>
          <w:sz w:val="32"/>
          <w:szCs w:val="32"/>
          <w:u w:val="single"/>
        </w:rPr>
        <w:t>TGJA-WZ-202398</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2023年7月6日9:00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bookmarkStart w:id="0" w:name="_GoBack"/>
      <w:bookmarkEnd w:id="0"/>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详见技术清单。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highlight w:val="none"/>
        </w:rPr>
        <w:t>铜陵市</w:t>
      </w:r>
      <w:r>
        <w:rPr>
          <w:rFonts w:hint="eastAsia" w:ascii="仿宋" w:hAnsi="仿宋" w:eastAsia="仿宋" w:cs="仿宋_GB2312"/>
          <w:sz w:val="28"/>
          <w:szCs w:val="28"/>
          <w:highlight w:val="none"/>
          <w:lang w:eastAsia="zh-CN"/>
        </w:rPr>
        <w:t>有色研发基地</w:t>
      </w:r>
      <w:r>
        <w:rPr>
          <w:rFonts w:hint="eastAsia" w:ascii="仿宋" w:hAnsi="仿宋" w:eastAsia="仿宋" w:cs="仿宋_GB2312"/>
          <w:sz w:val="28"/>
          <w:szCs w:val="28"/>
          <w:highlight w:val="none"/>
        </w:rPr>
        <w:t>项目施工</w:t>
      </w:r>
      <w:r>
        <w:rPr>
          <w:rFonts w:hint="eastAsia" w:ascii="仿宋" w:hAnsi="仿宋" w:eastAsia="仿宋" w:cs="仿宋_GB2312"/>
          <w:sz w:val="28"/>
          <w:szCs w:val="28"/>
        </w:rPr>
        <w:t>现场。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（1）本次招标报价为含13%增值税专票含运费价格；</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本次招标总价限价6.9万元，超过限价的为废标。</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密封袋封口处应密封严实，并应加盖投标人公章。未按装订要求装订的，招标单位不负责相关保密要求，</w:t>
      </w:r>
      <w:r>
        <w:rPr>
          <w:rFonts w:hint="eastAsia" w:ascii="仿宋" w:hAnsi="仿宋" w:eastAsia="仿宋" w:cs="仿宋_GB2312"/>
          <w:b/>
          <w:bCs/>
          <w:sz w:val="28"/>
          <w:szCs w:val="28"/>
        </w:rPr>
        <w:t>同时视为无效投标</w:t>
      </w:r>
      <w:r>
        <w:rPr>
          <w:rFonts w:hint="eastAsia" w:ascii="仿宋" w:hAnsi="仿宋" w:eastAsia="仿宋" w:cs="仿宋_GB2312"/>
          <w:sz w:val="28"/>
          <w:szCs w:val="28"/>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各投标单位报价须谨慎，一旦中标不得以任何理由变更报价</w:t>
      </w:r>
      <w:r>
        <w:rPr>
          <w:rFonts w:hint="eastAsia" w:ascii="仿宋" w:hAnsi="仿宋" w:eastAsia="仿宋" w:cs="仿宋"/>
          <w:spacing w:val="-17"/>
          <w:sz w:val="28"/>
          <w:szCs w:val="28"/>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合同签订后，</w:t>
      </w:r>
      <w:r>
        <w:rPr>
          <w:rFonts w:hint="eastAsia" w:ascii="仿宋" w:hAnsi="仿宋" w:eastAsia="仿宋" w:cs="仿宋"/>
          <w:sz w:val="28"/>
          <w:szCs w:val="28"/>
        </w:rPr>
        <w:t>货到验收合格后开具发票，入账次月支付40%，春节前支付至80%，剩余20%该春节后两年内付清。</w:t>
      </w:r>
      <w:r>
        <w:rPr>
          <w:rFonts w:hint="eastAsia" w:ascii="仿宋" w:hAnsi="仿宋" w:eastAsia="仿宋" w:cs="仿宋"/>
          <w:sz w:val="28"/>
          <w:szCs w:val="28"/>
          <w:shd w:val="clear" w:color="auto" w:fill="FFFFFF"/>
        </w:rPr>
        <w:t>货款以对公转账方式支付至供方对公账户</w:t>
      </w:r>
      <w:r>
        <w:rPr>
          <w:rFonts w:hint="eastAsia" w:ascii="仿宋" w:hAnsi="仿宋" w:eastAsia="仿宋" w:cs="仿宋_GB2312"/>
          <w:sz w:val="28"/>
          <w:szCs w:val="28"/>
        </w:rPr>
        <w:t>。</w:t>
      </w:r>
    </w:p>
    <w:p>
      <w:pPr>
        <w:spacing w:line="560" w:lineRule="exact"/>
        <w:ind w:firstLine="560" w:firstLineChars="200"/>
        <w:rPr>
          <w:rFonts w:ascii="仿宋" w:hAnsi="仿宋" w:eastAsia="仿宋" w:cs="仿宋"/>
          <w:color w:val="171A1D"/>
          <w:sz w:val="28"/>
          <w:szCs w:val="28"/>
          <w:shd w:val="clear" w:color="auto" w:fill="FFFFFF"/>
        </w:rPr>
      </w:pPr>
    </w:p>
    <w:p>
      <w:pPr>
        <w:spacing w:line="560" w:lineRule="exact"/>
        <w:ind w:firstLine="560" w:firstLineChars="200"/>
        <w:rPr>
          <w:rFonts w:ascii="仿宋" w:hAnsi="仿宋" w:eastAsia="仿宋" w:cs="仿宋"/>
          <w:color w:val="171A1D"/>
          <w:sz w:val="28"/>
          <w:szCs w:val="28"/>
          <w:shd w:val="clear" w:color="auto" w:fill="FFFFFF"/>
        </w:rPr>
      </w:pPr>
    </w:p>
    <w:p>
      <w:pPr>
        <w:spacing w:line="560" w:lineRule="exact"/>
        <w:ind w:firstLine="560" w:firstLineChars="200"/>
        <w:rPr>
          <w:rFonts w:ascii="仿宋" w:hAnsi="仿宋" w:eastAsia="仿宋" w:cs="仿宋"/>
          <w:color w:val="171A1D"/>
          <w:sz w:val="28"/>
          <w:szCs w:val="28"/>
          <w:shd w:val="clear" w:color="auto" w:fill="FFFFFF"/>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ascii="仿宋" w:hAnsi="仿宋" w:eastAsia="仿宋"/>
          <w:b/>
          <w:sz w:val="28"/>
          <w:szCs w:val="28"/>
        </w:rPr>
      </w:pPr>
      <w:r>
        <w:rPr>
          <w:rFonts w:hint="eastAsia" w:ascii="仿宋" w:hAnsi="仿宋" w:eastAsia="仿宋"/>
          <w:b/>
          <w:sz w:val="28"/>
          <w:szCs w:val="28"/>
        </w:rPr>
        <w:t>报价</w:t>
      </w:r>
      <w:r>
        <w:rPr>
          <w:rFonts w:hint="eastAsia" w:ascii="仿宋" w:hAnsi="仿宋" w:eastAsia="仿宋"/>
          <w:b/>
          <w:sz w:val="28"/>
          <w:szCs w:val="28"/>
          <w:u w:val="none"/>
        </w:rPr>
        <w:t>单（</w:t>
      </w:r>
      <w:r>
        <w:rPr>
          <w:rFonts w:hint="eastAsia" w:ascii="仿宋" w:hAnsi="仿宋" w:eastAsia="仿宋" w:cs="仿宋_GB2312"/>
          <w:b/>
          <w:bCs/>
          <w:sz w:val="32"/>
          <w:szCs w:val="32"/>
          <w:u w:val="none"/>
        </w:rPr>
        <w:t>TGJA-WZ-20239</w:t>
      </w:r>
      <w:r>
        <w:rPr>
          <w:rFonts w:hint="eastAsia" w:ascii="仿宋" w:hAnsi="仿宋" w:eastAsia="仿宋" w:cs="仿宋_GB2312"/>
          <w:b/>
          <w:bCs/>
          <w:sz w:val="32"/>
          <w:szCs w:val="32"/>
          <w:u w:val="none"/>
          <w:lang w:val="en-US" w:eastAsia="zh-CN"/>
        </w:rPr>
        <w:t>8</w:t>
      </w:r>
      <w:r>
        <w:rPr>
          <w:rFonts w:hint="eastAsia" w:ascii="仿宋" w:hAnsi="仿宋" w:eastAsia="仿宋"/>
          <w:b/>
          <w:sz w:val="28"/>
          <w:szCs w:val="28"/>
        </w:rPr>
        <w:t>）</w:t>
      </w:r>
    </w:p>
    <w:tbl>
      <w:tblPr>
        <w:tblStyle w:val="54"/>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622"/>
        <w:gridCol w:w="1925"/>
        <w:gridCol w:w="827"/>
        <w:gridCol w:w="939"/>
        <w:gridCol w:w="1211"/>
        <w:gridCol w:w="1309"/>
        <w:gridCol w:w="1278"/>
        <w:gridCol w:w="1609"/>
        <w:gridCol w:w="616"/>
        <w:gridCol w:w="3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622"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1925"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27"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39"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211"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309"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r>
              <w:rPr>
                <w:rFonts w:ascii="仿宋" w:hAnsi="仿宋" w:eastAsia="仿宋"/>
                <w:sz w:val="24"/>
              </w:rPr>
              <w:t>金额</w:t>
            </w:r>
            <w:r>
              <w:rPr>
                <w:rFonts w:hint="eastAsia" w:ascii="仿宋" w:hAnsi="仿宋" w:eastAsia="仿宋"/>
                <w:color w:val="FF0000"/>
                <w:sz w:val="24"/>
              </w:rPr>
              <w:t>*</w:t>
            </w:r>
          </w:p>
        </w:tc>
        <w:tc>
          <w:tcPr>
            <w:tcW w:w="1278"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09"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4164" w:type="dxa"/>
            <w:gridSpan w:val="2"/>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1</w:t>
            </w:r>
          </w:p>
        </w:tc>
        <w:tc>
          <w:tcPr>
            <w:tcW w:w="1622"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LED吸顶灯(声光控）</w:t>
            </w:r>
          </w:p>
        </w:tc>
        <w:tc>
          <w:tcPr>
            <w:tcW w:w="1925"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20W，5000K，直径35cm</w:t>
            </w:r>
          </w:p>
        </w:tc>
        <w:tc>
          <w:tcPr>
            <w:tcW w:w="827"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套</w:t>
            </w:r>
          </w:p>
        </w:tc>
        <w:tc>
          <w:tcPr>
            <w:tcW w:w="939"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4</w:t>
            </w:r>
          </w:p>
        </w:tc>
        <w:tc>
          <w:tcPr>
            <w:tcW w:w="1211" w:type="dxa"/>
            <w:vAlign w:val="center"/>
          </w:tcPr>
          <w:p>
            <w:pPr>
              <w:spacing w:line="400" w:lineRule="exact"/>
              <w:jc w:val="center"/>
              <w:rPr>
                <w:rFonts w:hint="eastAsia" w:ascii="宋体" w:hAnsi="宋体" w:eastAsia="宋体" w:cs="宋体"/>
                <w:b w:val="0"/>
                <w:bCs w:val="0"/>
                <w:sz w:val="22"/>
                <w:szCs w:val="22"/>
              </w:rPr>
            </w:pPr>
          </w:p>
        </w:tc>
        <w:tc>
          <w:tcPr>
            <w:tcW w:w="1309" w:type="dxa"/>
            <w:vAlign w:val="center"/>
          </w:tcPr>
          <w:p>
            <w:pPr>
              <w:spacing w:line="400" w:lineRule="exact"/>
              <w:jc w:val="center"/>
              <w:rPr>
                <w:rFonts w:hint="eastAsia" w:ascii="宋体" w:hAnsi="宋体" w:eastAsia="宋体" w:cs="宋体"/>
                <w:b w:val="0"/>
                <w:bCs w:val="0"/>
                <w:sz w:val="22"/>
                <w:szCs w:val="22"/>
              </w:rPr>
            </w:pPr>
          </w:p>
        </w:tc>
        <w:tc>
          <w:tcPr>
            <w:tcW w:w="1278" w:type="dxa"/>
            <w:vAlign w:val="center"/>
          </w:tcPr>
          <w:p>
            <w:pPr>
              <w:spacing w:line="400" w:lineRule="exact"/>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13</w:t>
            </w:r>
          </w:p>
        </w:tc>
        <w:tc>
          <w:tcPr>
            <w:tcW w:w="1609" w:type="dxa"/>
            <w:vAlign w:val="center"/>
          </w:tcPr>
          <w:p>
            <w:pPr>
              <w:spacing w:line="400" w:lineRule="exact"/>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是</w:t>
            </w:r>
          </w:p>
        </w:tc>
        <w:tc>
          <w:tcPr>
            <w:tcW w:w="4164" w:type="dxa"/>
            <w:gridSpan w:val="2"/>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楼梯休息平台用，中标后提供样品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2</w:t>
            </w:r>
          </w:p>
        </w:tc>
        <w:tc>
          <w:tcPr>
            <w:tcW w:w="1622"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吊线LED日光灯</w:t>
            </w:r>
          </w:p>
        </w:tc>
        <w:tc>
          <w:tcPr>
            <w:tcW w:w="1925"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42W,5000K</w:t>
            </w:r>
          </w:p>
        </w:tc>
        <w:tc>
          <w:tcPr>
            <w:tcW w:w="827"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套</w:t>
            </w:r>
          </w:p>
        </w:tc>
        <w:tc>
          <w:tcPr>
            <w:tcW w:w="939"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124</w:t>
            </w:r>
          </w:p>
        </w:tc>
        <w:tc>
          <w:tcPr>
            <w:tcW w:w="1211" w:type="dxa"/>
            <w:vAlign w:val="center"/>
          </w:tcPr>
          <w:p>
            <w:pPr>
              <w:spacing w:line="400" w:lineRule="exact"/>
              <w:jc w:val="center"/>
              <w:rPr>
                <w:rFonts w:hint="eastAsia" w:ascii="宋体" w:hAnsi="宋体" w:eastAsia="宋体" w:cs="宋体"/>
                <w:b w:val="0"/>
                <w:bCs w:val="0"/>
                <w:sz w:val="22"/>
                <w:szCs w:val="22"/>
              </w:rPr>
            </w:pPr>
          </w:p>
        </w:tc>
        <w:tc>
          <w:tcPr>
            <w:tcW w:w="1309" w:type="dxa"/>
            <w:vAlign w:val="center"/>
          </w:tcPr>
          <w:p>
            <w:pPr>
              <w:spacing w:line="400" w:lineRule="exact"/>
              <w:jc w:val="center"/>
              <w:rPr>
                <w:rFonts w:hint="eastAsia" w:ascii="宋体" w:hAnsi="宋体" w:eastAsia="宋体" w:cs="宋体"/>
                <w:b w:val="0"/>
                <w:bCs w:val="0"/>
                <w:sz w:val="22"/>
                <w:szCs w:val="22"/>
              </w:rPr>
            </w:pPr>
          </w:p>
        </w:tc>
        <w:tc>
          <w:tcPr>
            <w:tcW w:w="1278" w:type="dxa"/>
          </w:tcPr>
          <w:p>
            <w:pPr>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13</w:t>
            </w:r>
          </w:p>
        </w:tc>
        <w:tc>
          <w:tcPr>
            <w:tcW w:w="1609" w:type="dxa"/>
          </w:tcPr>
          <w:p>
            <w:pPr>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是</w:t>
            </w:r>
          </w:p>
        </w:tc>
        <w:tc>
          <w:tcPr>
            <w:tcW w:w="4164" w:type="dxa"/>
            <w:gridSpan w:val="2"/>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中标后提供样品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3</w:t>
            </w:r>
          </w:p>
        </w:tc>
        <w:tc>
          <w:tcPr>
            <w:tcW w:w="1622"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600*600LED平板灯</w:t>
            </w:r>
          </w:p>
        </w:tc>
        <w:tc>
          <w:tcPr>
            <w:tcW w:w="1925"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30W,5000K</w:t>
            </w:r>
          </w:p>
        </w:tc>
        <w:tc>
          <w:tcPr>
            <w:tcW w:w="827"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套</w:t>
            </w:r>
          </w:p>
        </w:tc>
        <w:tc>
          <w:tcPr>
            <w:tcW w:w="939"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80</w:t>
            </w:r>
          </w:p>
        </w:tc>
        <w:tc>
          <w:tcPr>
            <w:tcW w:w="1211" w:type="dxa"/>
            <w:vAlign w:val="center"/>
          </w:tcPr>
          <w:p>
            <w:pPr>
              <w:spacing w:line="400" w:lineRule="exact"/>
              <w:jc w:val="center"/>
              <w:rPr>
                <w:rFonts w:hint="eastAsia" w:ascii="宋体" w:hAnsi="宋体" w:eastAsia="宋体" w:cs="宋体"/>
                <w:b w:val="0"/>
                <w:bCs w:val="0"/>
                <w:sz w:val="22"/>
                <w:szCs w:val="22"/>
              </w:rPr>
            </w:pPr>
          </w:p>
        </w:tc>
        <w:tc>
          <w:tcPr>
            <w:tcW w:w="1309" w:type="dxa"/>
            <w:vAlign w:val="center"/>
          </w:tcPr>
          <w:p>
            <w:pPr>
              <w:spacing w:line="400" w:lineRule="exact"/>
              <w:jc w:val="center"/>
              <w:rPr>
                <w:rFonts w:hint="eastAsia" w:ascii="宋体" w:hAnsi="宋体" w:eastAsia="宋体" w:cs="宋体"/>
                <w:b w:val="0"/>
                <w:bCs w:val="0"/>
                <w:sz w:val="22"/>
                <w:szCs w:val="22"/>
              </w:rPr>
            </w:pPr>
          </w:p>
        </w:tc>
        <w:tc>
          <w:tcPr>
            <w:tcW w:w="1278" w:type="dxa"/>
          </w:tcPr>
          <w:p>
            <w:pPr>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13</w:t>
            </w:r>
          </w:p>
        </w:tc>
        <w:tc>
          <w:tcPr>
            <w:tcW w:w="1609" w:type="dxa"/>
          </w:tcPr>
          <w:p>
            <w:pPr>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是</w:t>
            </w:r>
          </w:p>
        </w:tc>
        <w:tc>
          <w:tcPr>
            <w:tcW w:w="4164" w:type="dxa"/>
            <w:gridSpan w:val="2"/>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超薄铝扣板专用，中标后提供样品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trPr>
        <w:tc>
          <w:tcPr>
            <w:tcW w:w="567" w:type="dxa"/>
            <w:vAlign w:val="center"/>
          </w:tcPr>
          <w:p>
            <w:pPr>
              <w:spacing w:line="400" w:lineRule="exact"/>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4</w:t>
            </w:r>
          </w:p>
        </w:tc>
        <w:tc>
          <w:tcPr>
            <w:tcW w:w="1622"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LED筒灯</w:t>
            </w:r>
          </w:p>
        </w:tc>
        <w:tc>
          <w:tcPr>
            <w:tcW w:w="1925"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4寸，4000K，12W</w:t>
            </w:r>
          </w:p>
        </w:tc>
        <w:tc>
          <w:tcPr>
            <w:tcW w:w="827" w:type="dxa"/>
            <w:vAlign w:val="center"/>
          </w:tcPr>
          <w:p>
            <w:pPr>
              <w:spacing w:line="400" w:lineRule="exact"/>
              <w:jc w:val="center"/>
              <w:rPr>
                <w:rFonts w:hint="eastAsia" w:ascii="宋体" w:hAnsi="宋体" w:eastAsia="宋体" w:cs="宋体"/>
                <w:b w:val="0"/>
                <w:bCs w:val="0"/>
                <w:sz w:val="22"/>
                <w:szCs w:val="22"/>
              </w:rPr>
            </w:pPr>
            <w:r>
              <w:rPr>
                <w:rFonts w:hint="eastAsia" w:ascii="宋体" w:hAnsi="宋体" w:eastAsia="宋体" w:cs="宋体"/>
                <w:b w:val="0"/>
                <w:bCs w:val="0"/>
                <w:color w:val="000000"/>
                <w:sz w:val="22"/>
                <w:szCs w:val="22"/>
              </w:rPr>
              <w:t>套</w:t>
            </w:r>
          </w:p>
        </w:tc>
        <w:tc>
          <w:tcPr>
            <w:tcW w:w="939" w:type="dxa"/>
            <w:vAlign w:val="center"/>
          </w:tcPr>
          <w:p>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rPr>
              <w:t>57</w:t>
            </w:r>
          </w:p>
        </w:tc>
        <w:tc>
          <w:tcPr>
            <w:tcW w:w="1211" w:type="dxa"/>
            <w:vAlign w:val="center"/>
          </w:tcPr>
          <w:p>
            <w:pPr>
              <w:spacing w:line="400" w:lineRule="exact"/>
              <w:jc w:val="center"/>
              <w:rPr>
                <w:rFonts w:hint="eastAsia" w:ascii="宋体" w:hAnsi="宋体" w:eastAsia="宋体" w:cs="宋体"/>
                <w:b w:val="0"/>
                <w:bCs w:val="0"/>
                <w:sz w:val="22"/>
                <w:szCs w:val="22"/>
              </w:rPr>
            </w:pPr>
          </w:p>
        </w:tc>
        <w:tc>
          <w:tcPr>
            <w:tcW w:w="1309" w:type="dxa"/>
            <w:vAlign w:val="center"/>
          </w:tcPr>
          <w:p>
            <w:pPr>
              <w:spacing w:line="400" w:lineRule="exact"/>
              <w:jc w:val="center"/>
              <w:rPr>
                <w:rFonts w:hint="eastAsia" w:ascii="宋体" w:hAnsi="宋体" w:eastAsia="宋体" w:cs="宋体"/>
                <w:b w:val="0"/>
                <w:bCs w:val="0"/>
                <w:sz w:val="22"/>
                <w:szCs w:val="22"/>
              </w:rPr>
            </w:pPr>
          </w:p>
        </w:tc>
        <w:tc>
          <w:tcPr>
            <w:tcW w:w="1278" w:type="dxa"/>
            <w:vAlign w:val="center"/>
          </w:tcPr>
          <w:p>
            <w:pPr>
              <w:spacing w:line="400" w:lineRule="exact"/>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13</w:t>
            </w:r>
          </w:p>
        </w:tc>
        <w:tc>
          <w:tcPr>
            <w:tcW w:w="1609" w:type="dxa"/>
            <w:vAlign w:val="center"/>
          </w:tcPr>
          <w:p>
            <w:pPr>
              <w:spacing w:line="400" w:lineRule="exact"/>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是</w:t>
            </w:r>
          </w:p>
        </w:tc>
        <w:tc>
          <w:tcPr>
            <w:tcW w:w="4164" w:type="dxa"/>
            <w:gridSpan w:val="2"/>
            <w:vAlign w:val="center"/>
          </w:tcPr>
          <w:p>
            <w:pPr>
              <w:spacing w:line="400" w:lineRule="exact"/>
              <w:jc w:val="center"/>
              <w:rPr>
                <w:rFonts w:hint="eastAsia" w:ascii="宋体" w:hAnsi="宋体" w:eastAsia="宋体" w:cs="宋体"/>
                <w:b w:val="0"/>
                <w:bCs w:val="0"/>
                <w:sz w:val="22"/>
                <w:szCs w:val="22"/>
              </w:rPr>
            </w:pPr>
            <w:r>
              <w:rPr>
                <w:rFonts w:hint="eastAsia" w:ascii="宋体" w:hAnsi="宋体" w:eastAsia="宋体" w:cs="宋体"/>
                <w:b w:val="0"/>
                <w:bCs w:val="0"/>
                <w:color w:val="000000"/>
                <w:sz w:val="22"/>
                <w:szCs w:val="22"/>
              </w:rPr>
              <w:t>中标后提供样品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7" w:type="dxa"/>
            <w:vAlign w:val="center"/>
          </w:tcPr>
          <w:p>
            <w:pPr>
              <w:spacing w:line="400" w:lineRule="exact"/>
              <w:jc w:val="center"/>
              <w:rPr>
                <w:rFonts w:ascii="仿宋" w:hAnsi="仿宋" w:eastAsia="仿宋"/>
                <w:b/>
                <w:sz w:val="24"/>
              </w:rPr>
            </w:pPr>
          </w:p>
        </w:tc>
        <w:tc>
          <w:tcPr>
            <w:tcW w:w="1622" w:type="dxa"/>
            <w:vAlign w:val="center"/>
          </w:tcPr>
          <w:p>
            <w:pPr>
              <w:spacing w:line="400" w:lineRule="exact"/>
              <w:jc w:val="center"/>
              <w:rPr>
                <w:rFonts w:ascii="仿宋" w:hAnsi="仿宋" w:eastAsia="仿宋"/>
                <w:b/>
                <w:sz w:val="24"/>
              </w:rPr>
            </w:pPr>
            <w:r>
              <w:rPr>
                <w:rFonts w:hint="eastAsia" w:ascii="仿宋" w:hAnsi="仿宋" w:eastAsia="仿宋"/>
                <w:b/>
                <w:sz w:val="24"/>
              </w:rPr>
              <w:t>合计：</w:t>
            </w:r>
          </w:p>
        </w:tc>
        <w:tc>
          <w:tcPr>
            <w:tcW w:w="1925" w:type="dxa"/>
            <w:vAlign w:val="center"/>
          </w:tcPr>
          <w:p>
            <w:pPr>
              <w:jc w:val="center"/>
              <w:rPr>
                <w:rFonts w:ascii="宋体" w:hAnsi="宋体" w:cs="宋体"/>
                <w:b/>
                <w:color w:val="000000"/>
                <w:sz w:val="22"/>
                <w:szCs w:val="22"/>
              </w:rPr>
            </w:pPr>
          </w:p>
        </w:tc>
        <w:tc>
          <w:tcPr>
            <w:tcW w:w="827" w:type="dxa"/>
            <w:vAlign w:val="center"/>
          </w:tcPr>
          <w:p>
            <w:pPr>
              <w:spacing w:line="400" w:lineRule="exact"/>
              <w:jc w:val="center"/>
              <w:rPr>
                <w:rFonts w:ascii="仿宋" w:hAnsi="仿宋" w:eastAsia="仿宋"/>
                <w:b/>
                <w:sz w:val="24"/>
              </w:rPr>
            </w:pPr>
          </w:p>
        </w:tc>
        <w:tc>
          <w:tcPr>
            <w:tcW w:w="939" w:type="dxa"/>
            <w:vAlign w:val="center"/>
          </w:tcPr>
          <w:p>
            <w:pPr>
              <w:spacing w:line="400" w:lineRule="exact"/>
              <w:jc w:val="center"/>
              <w:rPr>
                <w:rFonts w:ascii="仿宋" w:hAnsi="仿宋" w:eastAsia="仿宋"/>
                <w:b/>
                <w:sz w:val="24"/>
              </w:rPr>
            </w:pPr>
          </w:p>
        </w:tc>
        <w:tc>
          <w:tcPr>
            <w:tcW w:w="1211" w:type="dxa"/>
            <w:vAlign w:val="center"/>
          </w:tcPr>
          <w:p>
            <w:pPr>
              <w:spacing w:line="400" w:lineRule="exact"/>
              <w:jc w:val="center"/>
              <w:rPr>
                <w:rFonts w:ascii="仿宋" w:hAnsi="仿宋" w:eastAsia="仿宋"/>
                <w:b/>
                <w:sz w:val="24"/>
              </w:rPr>
            </w:pPr>
          </w:p>
        </w:tc>
        <w:tc>
          <w:tcPr>
            <w:tcW w:w="1309" w:type="dxa"/>
            <w:vAlign w:val="center"/>
          </w:tcPr>
          <w:p>
            <w:pPr>
              <w:spacing w:line="400" w:lineRule="exact"/>
              <w:jc w:val="center"/>
              <w:rPr>
                <w:rFonts w:ascii="仿宋" w:hAnsi="仿宋" w:eastAsia="仿宋"/>
                <w:b/>
                <w:sz w:val="24"/>
              </w:rPr>
            </w:pPr>
          </w:p>
        </w:tc>
        <w:tc>
          <w:tcPr>
            <w:tcW w:w="1278" w:type="dxa"/>
            <w:vAlign w:val="center"/>
          </w:tcPr>
          <w:p>
            <w:pPr>
              <w:spacing w:line="400" w:lineRule="exact"/>
              <w:jc w:val="center"/>
              <w:rPr>
                <w:rFonts w:ascii="仿宋" w:hAnsi="仿宋" w:eastAsia="仿宋"/>
                <w:b/>
                <w:sz w:val="24"/>
              </w:rPr>
            </w:pPr>
          </w:p>
        </w:tc>
        <w:tc>
          <w:tcPr>
            <w:tcW w:w="1609" w:type="dxa"/>
            <w:vAlign w:val="center"/>
          </w:tcPr>
          <w:p>
            <w:pPr>
              <w:spacing w:line="400" w:lineRule="exact"/>
              <w:jc w:val="center"/>
              <w:rPr>
                <w:rFonts w:ascii="仿宋" w:hAnsi="仿宋" w:eastAsia="仿宋"/>
                <w:b/>
                <w:sz w:val="24"/>
              </w:rPr>
            </w:pPr>
          </w:p>
        </w:tc>
        <w:tc>
          <w:tcPr>
            <w:tcW w:w="4164" w:type="dxa"/>
            <w:gridSpan w:val="2"/>
            <w:vAlign w:val="center"/>
          </w:tcPr>
          <w:p>
            <w:pPr>
              <w:spacing w:line="400" w:lineRule="exact"/>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5451"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5880"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2520"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7051"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880" w:type="dxa"/>
            <w:gridSpan w:val="5"/>
            <w:vMerge w:val="continue"/>
            <w:vAlign w:val="center"/>
          </w:tcPr>
          <w:p>
            <w:pPr>
              <w:spacing w:line="400" w:lineRule="exact"/>
              <w:rPr>
                <w:rFonts w:ascii="仿宋" w:hAnsi="仿宋" w:eastAsia="仿宋"/>
                <w:sz w:val="24"/>
              </w:rPr>
            </w:pPr>
          </w:p>
        </w:tc>
        <w:tc>
          <w:tcPr>
            <w:tcW w:w="2520"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3503" w:type="dxa"/>
            <w:gridSpan w:val="3"/>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548" w:type="dxa"/>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6" w:hRule="atLeast"/>
        </w:trPr>
        <w:tc>
          <w:tcPr>
            <w:tcW w:w="5880" w:type="dxa"/>
            <w:gridSpan w:val="5"/>
            <w:vMerge w:val="continue"/>
            <w:vAlign w:val="center"/>
          </w:tcPr>
          <w:p>
            <w:pPr>
              <w:spacing w:line="400" w:lineRule="exact"/>
              <w:rPr>
                <w:rFonts w:ascii="仿宋" w:hAnsi="仿宋" w:eastAsia="仿宋"/>
                <w:sz w:val="24"/>
              </w:rPr>
            </w:pPr>
          </w:p>
        </w:tc>
        <w:tc>
          <w:tcPr>
            <w:tcW w:w="2520" w:type="dxa"/>
            <w:gridSpan w:val="2"/>
            <w:vMerge w:val="continue"/>
            <w:vAlign w:val="center"/>
          </w:tcPr>
          <w:p>
            <w:pPr>
              <w:spacing w:line="400" w:lineRule="exact"/>
              <w:jc w:val="center"/>
              <w:rPr>
                <w:rFonts w:ascii="仿宋" w:hAnsi="仿宋" w:eastAsia="仿宋"/>
                <w:sz w:val="24"/>
              </w:rPr>
            </w:pPr>
          </w:p>
        </w:tc>
        <w:tc>
          <w:tcPr>
            <w:tcW w:w="3503" w:type="dxa"/>
            <w:gridSpan w:val="3"/>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548" w:type="dxa"/>
            <w:vAlign w:val="center"/>
          </w:tcPr>
          <w:p>
            <w:pPr>
              <w:spacing w:line="400" w:lineRule="exact"/>
              <w:rPr>
                <w:rFonts w:ascii="仿宋" w:hAnsi="仿宋" w:eastAsia="仿宋"/>
                <w:sz w:val="24"/>
              </w:rPr>
            </w:pPr>
          </w:p>
        </w:tc>
      </w:tr>
    </w:tbl>
    <w:p>
      <w:pPr>
        <w:rPr>
          <w:rFonts w:ascii="仿宋" w:hAnsi="仿宋" w:eastAsia="仿宋" w:cs="仿宋"/>
          <w:b/>
          <w:bCs/>
          <w:sz w:val="28"/>
          <w:szCs w:val="28"/>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270DB"/>
    <w:rsid w:val="0003099D"/>
    <w:rsid w:val="00033176"/>
    <w:rsid w:val="00033A6F"/>
    <w:rsid w:val="00035C1C"/>
    <w:rsid w:val="00041C63"/>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767"/>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360"/>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655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C95"/>
    <w:rsid w:val="00253D95"/>
    <w:rsid w:val="00256C09"/>
    <w:rsid w:val="00256CFD"/>
    <w:rsid w:val="00260383"/>
    <w:rsid w:val="00260795"/>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61EA"/>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686"/>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D6200"/>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5E2"/>
    <w:rsid w:val="00622BEF"/>
    <w:rsid w:val="0062384B"/>
    <w:rsid w:val="006250DB"/>
    <w:rsid w:val="00626D52"/>
    <w:rsid w:val="00632478"/>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48B"/>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1D4E"/>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2437"/>
    <w:rsid w:val="007E3D91"/>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46D96"/>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856D6"/>
    <w:rsid w:val="0089036D"/>
    <w:rsid w:val="008906C3"/>
    <w:rsid w:val="008920B4"/>
    <w:rsid w:val="0089301F"/>
    <w:rsid w:val="008959AA"/>
    <w:rsid w:val="008A0622"/>
    <w:rsid w:val="008A150B"/>
    <w:rsid w:val="008A4634"/>
    <w:rsid w:val="008A6349"/>
    <w:rsid w:val="008A7F92"/>
    <w:rsid w:val="008B409D"/>
    <w:rsid w:val="008B56AB"/>
    <w:rsid w:val="008B5A6E"/>
    <w:rsid w:val="008B5FE9"/>
    <w:rsid w:val="008B6737"/>
    <w:rsid w:val="008B71FA"/>
    <w:rsid w:val="008C0D9E"/>
    <w:rsid w:val="008C1336"/>
    <w:rsid w:val="008C27DF"/>
    <w:rsid w:val="008C353A"/>
    <w:rsid w:val="008C35DE"/>
    <w:rsid w:val="008C3615"/>
    <w:rsid w:val="008C376F"/>
    <w:rsid w:val="008C399C"/>
    <w:rsid w:val="008C4B99"/>
    <w:rsid w:val="008D136F"/>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1494"/>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40D"/>
    <w:rsid w:val="00A26ACA"/>
    <w:rsid w:val="00A27897"/>
    <w:rsid w:val="00A30969"/>
    <w:rsid w:val="00A30E4F"/>
    <w:rsid w:val="00A32126"/>
    <w:rsid w:val="00A35251"/>
    <w:rsid w:val="00A405E5"/>
    <w:rsid w:val="00A41A8C"/>
    <w:rsid w:val="00A4334B"/>
    <w:rsid w:val="00A4390F"/>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23C7"/>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4ED9"/>
    <w:rsid w:val="00B65A94"/>
    <w:rsid w:val="00B66CB7"/>
    <w:rsid w:val="00B66E0C"/>
    <w:rsid w:val="00B72F1F"/>
    <w:rsid w:val="00B758E4"/>
    <w:rsid w:val="00B75F56"/>
    <w:rsid w:val="00B779E0"/>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5EA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37FD"/>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02F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289"/>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2BE1"/>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C6241B2"/>
    <w:rsid w:val="0CA911C7"/>
    <w:rsid w:val="0D2B4E23"/>
    <w:rsid w:val="0E2061B7"/>
    <w:rsid w:val="0E876D2F"/>
    <w:rsid w:val="0EC82FD7"/>
    <w:rsid w:val="0F3A3B23"/>
    <w:rsid w:val="0FB34554"/>
    <w:rsid w:val="10181623"/>
    <w:rsid w:val="107E735A"/>
    <w:rsid w:val="12653302"/>
    <w:rsid w:val="12A820AD"/>
    <w:rsid w:val="13D939D3"/>
    <w:rsid w:val="15737884"/>
    <w:rsid w:val="15A07AEB"/>
    <w:rsid w:val="17D86D23"/>
    <w:rsid w:val="17F4775E"/>
    <w:rsid w:val="18AF15FD"/>
    <w:rsid w:val="19E61B84"/>
    <w:rsid w:val="19E94006"/>
    <w:rsid w:val="1BBF797C"/>
    <w:rsid w:val="1C2910CE"/>
    <w:rsid w:val="1CCF3519"/>
    <w:rsid w:val="1DE26149"/>
    <w:rsid w:val="1DEE2CCA"/>
    <w:rsid w:val="1EB92EF2"/>
    <w:rsid w:val="1EF13F03"/>
    <w:rsid w:val="2037683E"/>
    <w:rsid w:val="20637B7A"/>
    <w:rsid w:val="21842373"/>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EA47C5D"/>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86306A"/>
    <w:rsid w:val="3DCC4487"/>
    <w:rsid w:val="3E474521"/>
    <w:rsid w:val="3E73558E"/>
    <w:rsid w:val="3EE14DBF"/>
    <w:rsid w:val="3FF77603"/>
    <w:rsid w:val="413C763F"/>
    <w:rsid w:val="41B46B47"/>
    <w:rsid w:val="41DA5117"/>
    <w:rsid w:val="424B79E0"/>
    <w:rsid w:val="42FA2D1F"/>
    <w:rsid w:val="434963F7"/>
    <w:rsid w:val="436B2C00"/>
    <w:rsid w:val="439F612A"/>
    <w:rsid w:val="441344E9"/>
    <w:rsid w:val="44842956"/>
    <w:rsid w:val="44B922E9"/>
    <w:rsid w:val="45086E27"/>
    <w:rsid w:val="465E02D2"/>
    <w:rsid w:val="46823FC9"/>
    <w:rsid w:val="46E411EA"/>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9E73C6A"/>
    <w:rsid w:val="5A0F23DC"/>
    <w:rsid w:val="5B573321"/>
    <w:rsid w:val="5C1E1084"/>
    <w:rsid w:val="5DBB7EFB"/>
    <w:rsid w:val="5EE27322"/>
    <w:rsid w:val="6031228B"/>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1B554A-48E1-41C2-9988-38495037BBB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13</Pages>
  <Words>735</Words>
  <Characters>4192</Characters>
  <Lines>34</Lines>
  <Paragraphs>9</Paragraphs>
  <TotalTime>123</TotalTime>
  <ScaleCrop>false</ScaleCrop>
  <LinksUpToDate>false</LinksUpToDate>
  <CharactersWithSpaces>4918</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2023-07-03T06:04:29Z</dcterms:modified>
  <dc:title>中华人民共和国</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