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hint="eastAsia" w:ascii="宋体" w:hAnsi="宋体" w:cs="宋体"/>
          <w:b/>
          <w:bCs/>
          <w:sz w:val="44"/>
          <w:szCs w:val="44"/>
          <w:u w:val="single"/>
        </w:rPr>
      </w:pPr>
      <w:bookmarkStart w:id="0" w:name="_GoBack"/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第二事业部池州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eastAsia="zh-CN"/>
        </w:rPr>
        <w:t>书香苑</w:t>
      </w:r>
      <w:r>
        <w:rPr>
          <w:rFonts w:hint="eastAsia" w:ascii="宋体" w:hAnsi="宋体" w:cs="宋体"/>
          <w:b/>
          <w:bCs/>
          <w:sz w:val="44"/>
          <w:szCs w:val="44"/>
          <w:u w:val="single"/>
        </w:rPr>
        <w:t>加气ALC内隔墙</w:t>
      </w:r>
      <w:r>
        <w:rPr>
          <w:rFonts w:hint="eastAsia" w:ascii="宋体" w:hAnsi="宋体" w:eastAsia="宋体" w:cs="宋体"/>
          <w:b/>
          <w:bCs/>
          <w:sz w:val="44"/>
          <w:szCs w:val="44"/>
          <w:u w:val="single"/>
        </w:rPr>
        <w:t>Ⅱ</w:t>
      </w:r>
      <w:bookmarkEnd w:id="0"/>
    </w:p>
    <w:p>
      <w:pPr>
        <w:spacing w:line="700" w:lineRule="exact"/>
        <w:jc w:val="center"/>
        <w:rPr>
          <w:rFonts w:hint="eastAsia" w:ascii="宋体" w:hAnsi="宋体" w:cs="宋体"/>
          <w:b/>
          <w:bCs/>
          <w:sz w:val="44"/>
          <w:szCs w:val="44"/>
          <w:u w:val="single"/>
        </w:rPr>
      </w:pP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359</w:t>
      </w:r>
    </w:p>
    <w:p>
      <w:pPr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叶明陵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叶明陵（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）、任凡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u w:val="single"/>
          <w:lang w:eastAsia="zh-CN"/>
        </w:rPr>
        <w:t>贰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；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文件内附汇款凭证复印件。如投标人在铜冠建安公司（含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铜陵铜冠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建安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公司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第二事业部书香苑项目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ALC内隔墙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材料TGJA-WZ-202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359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 xml:space="preserve"> 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七、</w:t>
      </w:r>
      <w:r>
        <w:rPr>
          <w:rFonts w:hint="eastAsia" w:ascii="仿宋" w:hAnsi="仿宋" w:eastAsia="仿宋" w:cs="仿宋_GB2312"/>
          <w:b/>
          <w:sz w:val="36"/>
          <w:szCs w:val="36"/>
        </w:rPr>
        <w:t>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</w:t>
      </w:r>
      <w:r>
        <w:rPr>
          <w:rFonts w:ascii="仿宋" w:hAnsi="仿宋" w:eastAsia="仿宋" w:cs="仿宋_GB2312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墙体材料应用统一技术规范</w:t>
      </w:r>
      <w:r>
        <w:rPr>
          <w:rFonts w:ascii="仿宋" w:hAnsi="仿宋" w:eastAsia="仿宋" w:cs="仿宋_GB2312"/>
          <w:sz w:val="28"/>
          <w:szCs w:val="28"/>
          <w:u w:val="single"/>
        </w:rPr>
        <w:t>》GB/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50574-2010、</w:t>
      </w:r>
      <w:r>
        <w:rPr>
          <w:rFonts w:ascii="仿宋" w:hAnsi="仿宋" w:eastAsia="仿宋" w:cs="仿宋_GB2312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住宅工程质量通病防治技术规程</w:t>
      </w:r>
      <w:r>
        <w:rPr>
          <w:rFonts w:ascii="仿宋" w:hAnsi="仿宋" w:eastAsia="仿宋" w:cs="仿宋_GB2312"/>
          <w:sz w:val="28"/>
          <w:szCs w:val="28"/>
          <w:u w:val="single"/>
        </w:rPr>
        <w:t>》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DB34/1659-2012</w:t>
      </w:r>
      <w:r>
        <w:rPr>
          <w:rFonts w:ascii="仿宋" w:hAnsi="仿宋" w:eastAsia="仿宋" w:cs="仿宋_GB2312"/>
          <w:sz w:val="28"/>
          <w:szCs w:val="28"/>
          <w:u w:val="single"/>
        </w:rPr>
        <w:t>标准相关规定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要求。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（4）按招标人提供清单生产，分批发货；每批发货前，招标人提前7天通知具体发货明细。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2、付款方式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highlight w:val="green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根据到货情况，货到验收合格后开具发票，入账次月支付50%，春节前支付至80%，剩余20%该春节后两年内付清。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（投标人如不响应此质量要求可在《第十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章》的偏离表中说明，响应则可不填。）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报价为含税（税率必须注明）、含运费、含包安装价。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一票制结算。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供应方须保证主体结构通过验收。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（2）墙板安装所需辅材及机械、人工均由供应方提供，并包含在报价中。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、收货人</w:t>
      </w:r>
    </w:p>
    <w:p>
      <w:pPr>
        <w:ind w:firstLine="638" w:firstLineChars="228"/>
        <w:rPr>
          <w:rFonts w:hint="default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材料送至池州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书香苑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施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工现场。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收货人：程剑雄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18005627751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numPr>
          <w:ilvl w:val="0"/>
          <w:numId w:val="2"/>
        </w:numPr>
        <w:ind w:firstLine="560" w:firstLineChars="200"/>
        <w:rPr>
          <w:rFonts w:hint="eastAsia"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本次招标设最高控制价，凡高于控制价均视为无效投标。</w:t>
      </w:r>
    </w:p>
    <w:p>
      <w:pPr>
        <w:numPr>
          <w:ilvl w:val="0"/>
          <w:numId w:val="0"/>
        </w:numPr>
        <w:ind w:firstLine="1120" w:firstLineChars="400"/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lang w:eastAsia="zh-CN"/>
        </w:rPr>
        <w:t>拦标价：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200mm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840元/立方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（含运费含安装不含税价）</w:t>
      </w:r>
    </w:p>
    <w:p>
      <w:pPr>
        <w:numPr>
          <w:ilvl w:val="0"/>
          <w:numId w:val="0"/>
        </w:numPr>
        <w:ind w:firstLine="1120" w:firstLineChars="400"/>
        <w:rPr>
          <w:rFonts w:hint="default" w:ascii="仿宋" w:hAnsi="仿宋" w:eastAsia="仿宋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 xml:space="preserve">        100mm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860元/立方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（含运费含安装不含税价）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九、</w:t>
      </w: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numPr>
          <w:ilvl w:val="0"/>
          <w:numId w:val="0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十、</w:t>
      </w: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pStyle w:val="19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3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="仿宋_GB2312"/>
          <w:b/>
          <w:i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359</w:t>
      </w:r>
    </w:p>
    <w:tbl>
      <w:tblPr>
        <w:tblStyle w:val="46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加气ALC内隔墙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200mm厚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1434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GB/50574-2010；DB34/1659-2012，加工明细详见所附清单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加气ALC内隔墙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100mm厚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m3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257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GB/50574-2010；DB34/1659-2012，加工明细详见所附清单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含运费、含包安装价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一票制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。供应方须保证主体结构通过验收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墙板安装所需辅材及机械、人工均由供应方提供，并包含在报价中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</w:rPr>
              <w:t>保留至小数点后两位。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4、本次招标量为本批次供应量，招标数量可能与实际需求量存在偏差。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color w:val="auto"/>
          <w:sz w:val="36"/>
          <w:szCs w:val="36"/>
          <w:lang w:eastAsia="zh-CN"/>
        </w:rPr>
        <w:t>四</w:t>
      </w:r>
      <w:r>
        <w:rPr>
          <w:rFonts w:hint="eastAsia" w:ascii="仿宋" w:hAnsi="仿宋" w:eastAsia="仿宋" w:cs="仿宋_GB2312"/>
          <w:b/>
          <w:sz w:val="36"/>
          <w:szCs w:val="36"/>
        </w:rPr>
        <w:t>、响应/偏离表</w:t>
      </w:r>
    </w:p>
    <w:p>
      <w:pPr>
        <w:pStyle w:val="19"/>
        <w:spacing w:line="320" w:lineRule="exact"/>
      </w:pPr>
    </w:p>
    <w:p>
      <w:pPr>
        <w:spacing w:line="400" w:lineRule="exact"/>
        <w:rPr>
          <w:rFonts w:ascii="宋体"/>
          <w:sz w:val="24"/>
          <w:szCs w:val="22"/>
        </w:rPr>
      </w:pPr>
      <w:r>
        <w:rPr>
          <w:rFonts w:hint="eastAsia" w:ascii="宋体"/>
          <w:sz w:val="24"/>
        </w:rPr>
        <w:t>1.1商</w:t>
      </w:r>
      <w:r>
        <w:rPr>
          <w:rFonts w:hint="eastAsia" w:ascii="宋体"/>
          <w:sz w:val="24"/>
          <w:szCs w:val="22"/>
        </w:rPr>
        <w:t>务条款响应/偏离表</w:t>
      </w:r>
    </w:p>
    <w:p>
      <w:pPr>
        <w:spacing w:line="400" w:lineRule="exact"/>
        <w:ind w:firstLine="240" w:firstLineChars="100"/>
        <w:rPr>
          <w:rFonts w:hint="default" w:eastAsia="仿宋_GB2312"/>
          <w:lang w:val="en-US" w:eastAsia="zh-CN"/>
        </w:rPr>
      </w:pPr>
      <w:r>
        <w:rPr>
          <w:rFonts w:hint="eastAsia" w:ascii="宋体"/>
          <w:sz w:val="24"/>
        </w:rPr>
        <w:t>招标编号：</w:t>
      </w:r>
      <w:r>
        <w:rPr>
          <w:rFonts w:ascii="宋体"/>
          <w:sz w:val="24"/>
        </w:rPr>
        <w:t xml:space="preserve"> </w:t>
      </w:r>
      <w:r>
        <w:rPr>
          <w:rFonts w:hint="eastAsia" w:ascii="仿宋_GB2312" w:eastAsia="仿宋_GB2312"/>
          <w:b/>
          <w:sz w:val="28"/>
          <w:szCs w:val="28"/>
        </w:rPr>
        <w:t>TGJA-WZ-2023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59</w:t>
      </w:r>
    </w:p>
    <w:tbl>
      <w:tblPr>
        <w:tblStyle w:val="46"/>
        <w:tblW w:w="14134" w:type="dxa"/>
        <w:tblInd w:w="1" w:type="dxa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716"/>
        <w:gridCol w:w="2728"/>
        <w:gridCol w:w="3091"/>
        <w:gridCol w:w="39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序号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招标文件条目号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招标文件的商务条款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投标文件的商务条款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</w:tbl>
    <w:p>
      <w:pPr>
        <w:pStyle w:val="19"/>
        <w:spacing w:line="400" w:lineRule="exact"/>
      </w:pPr>
    </w:p>
    <w:p>
      <w:pPr>
        <w:spacing w:line="400" w:lineRule="exact"/>
        <w:rPr>
          <w:rFonts w:ascii="仿宋" w:hAnsi="仿宋" w:eastAsia="仿宋" w:cs="仿宋_GB2312"/>
          <w:b/>
          <w:szCs w:val="21"/>
        </w:rPr>
      </w:pPr>
      <w:r>
        <w:rPr>
          <w:rFonts w:hint="eastAsia" w:ascii="宋体"/>
          <w:sz w:val="24"/>
        </w:rPr>
        <w:t>注：投标人递交的投标文件中与招标文件的商务部分的要求有不同时，应逐条列在商务偏离表中，否则将认为投标人接受招标文件的要求</w:t>
      </w:r>
      <w:r>
        <w:rPr>
          <w:rFonts w:hint="eastAsia"/>
          <w:sz w:val="24"/>
        </w:rPr>
        <w:t>。</w:t>
      </w:r>
    </w:p>
    <w:p>
      <w:pPr>
        <w:spacing w:line="400" w:lineRule="exact"/>
        <w:rPr>
          <w:rFonts w:ascii="宋体"/>
          <w:sz w:val="24"/>
        </w:rPr>
      </w:pPr>
    </w:p>
    <w:p>
      <w:pPr>
        <w:spacing w:line="400" w:lineRule="exact"/>
      </w:pPr>
      <w:r>
        <w:rPr>
          <w:rFonts w:hint="eastAsia" w:ascii="宋体"/>
          <w:sz w:val="24"/>
        </w:rPr>
        <w:t>投标人名称：</w:t>
      </w:r>
      <w:r>
        <w:rPr>
          <w:rFonts w:ascii="宋体"/>
          <w:sz w:val="24"/>
        </w:rPr>
        <w:t xml:space="preserve"> </w:t>
      </w:r>
      <w:r>
        <w:rPr>
          <w:sz w:val="24"/>
        </w:rPr>
        <w:t xml:space="preserve">_____________________ </w:t>
      </w: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宋体"/>
          <w:sz w:val="24"/>
        </w:rPr>
        <w:t>投标人代表签字盖章：</w:t>
      </w:r>
      <w:r>
        <w:rPr>
          <w:sz w:val="24"/>
        </w:rPr>
        <w:t xml:space="preserve">________________ </w:t>
      </w: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0"/>
                            <w:rPr>
                              <w:rStyle w:val="5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50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5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JAiJ4L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0"/>
                      <w:rPr>
                        <w:rStyle w:val="50"/>
                      </w:rPr>
                    </w:pPr>
                    <w:r>
                      <w:fldChar w:fldCharType="begin"/>
                    </w:r>
                    <w:r>
                      <w:rPr>
                        <w:rStyle w:val="50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5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jc w:val="center"/>
    </w:pPr>
  </w:p>
  <w:p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both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1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1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3C7C9E5"/>
    <w:multiLevelType w:val="singleLevel"/>
    <w:tmpl w:val="23C7C9E5"/>
    <w:lvl w:ilvl="0" w:tentative="0">
      <w:start w:val="8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MDJiZjE4OGNiOWViNmEzMjhlYjUyZDgxYjAxMjQ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1A715C9"/>
    <w:rsid w:val="223E7710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1D7157D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5E0BE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C805F73"/>
    <w:rsid w:val="5EE01EF7"/>
    <w:rsid w:val="60F035C2"/>
    <w:rsid w:val="62274C0B"/>
    <w:rsid w:val="63E45615"/>
    <w:rsid w:val="644A2A1E"/>
    <w:rsid w:val="681960ED"/>
    <w:rsid w:val="69AD4D95"/>
    <w:rsid w:val="69B54174"/>
    <w:rsid w:val="6A315ABB"/>
    <w:rsid w:val="6A660AE8"/>
    <w:rsid w:val="6A87598F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DA9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9"/>
    <w:next w:val="19"/>
    <w:link w:val="90"/>
    <w:qFormat/>
    <w:uiPriority w:val="0"/>
    <w:pPr>
      <w:spacing w:after="120"/>
    </w:p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0">
    <w:name w:val="Body Text Indent"/>
    <w:basedOn w:val="1"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qFormat/>
    <w:uiPriority w:val="0"/>
    <w:pPr>
      <w:ind w:left="600" w:leftChars="600"/>
    </w:pPr>
  </w:style>
  <w:style w:type="paragraph" w:styleId="23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qFormat/>
    <w:uiPriority w:val="0"/>
    <w:rPr>
      <w:sz w:val="24"/>
      <w:szCs w:val="20"/>
    </w:rPr>
  </w:style>
  <w:style w:type="paragraph" w:styleId="2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qFormat/>
    <w:uiPriority w:val="0"/>
    <w:rPr>
      <w:sz w:val="18"/>
      <w:szCs w:val="18"/>
    </w:rPr>
  </w:style>
  <w:style w:type="paragraph" w:styleId="3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qFormat/>
    <w:uiPriority w:val="0"/>
    <w:rPr>
      <w:sz w:val="20"/>
      <w:szCs w:val="20"/>
    </w:rPr>
  </w:style>
  <w:style w:type="paragraph" w:styleId="36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5">
    <w:name w:val="annotation subject"/>
    <w:basedOn w:val="16"/>
    <w:next w:val="16"/>
    <w:qFormat/>
    <w:uiPriority w:val="0"/>
    <w:rPr>
      <w:b/>
      <w:bCs/>
    </w:rPr>
  </w:style>
  <w:style w:type="table" w:styleId="47">
    <w:name w:val="Table Grid"/>
    <w:basedOn w:val="4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9">
    <w:name w:val="Strong"/>
    <w:qFormat/>
    <w:uiPriority w:val="22"/>
    <w:rPr>
      <w:b/>
      <w:bCs/>
    </w:rPr>
  </w:style>
  <w:style w:type="character" w:styleId="50">
    <w:name w:val="page number"/>
    <w:basedOn w:val="48"/>
    <w:qFormat/>
    <w:uiPriority w:val="0"/>
  </w:style>
  <w:style w:type="character" w:styleId="51">
    <w:name w:val="FollowedHyperlink"/>
    <w:qFormat/>
    <w:uiPriority w:val="0"/>
    <w:rPr>
      <w:color w:val="000000"/>
      <w:u w:val="none"/>
    </w:rPr>
  </w:style>
  <w:style w:type="character" w:styleId="52">
    <w:name w:val="Emphasis"/>
    <w:qFormat/>
    <w:uiPriority w:val="0"/>
    <w:rPr>
      <w:i/>
      <w:iCs/>
    </w:rPr>
  </w:style>
  <w:style w:type="character" w:styleId="53">
    <w:name w:val="Hyperlink"/>
    <w:qFormat/>
    <w:uiPriority w:val="0"/>
    <w:rPr>
      <w:color w:val="000000"/>
      <w:u w:val="none"/>
    </w:rPr>
  </w:style>
  <w:style w:type="character" w:styleId="54">
    <w:name w:val="annotation reference"/>
    <w:qFormat/>
    <w:uiPriority w:val="0"/>
    <w:rPr>
      <w:sz w:val="21"/>
      <w:szCs w:val="21"/>
    </w:rPr>
  </w:style>
  <w:style w:type="character" w:styleId="55">
    <w:name w:val="footnote reference"/>
    <w:qFormat/>
    <w:uiPriority w:val="0"/>
    <w:rPr>
      <w:vertAlign w:val="superscript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2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4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5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8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8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0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5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5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5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13</Pages>
  <Words>4393</Words>
  <Characters>4928</Characters>
  <Lines>33</Lines>
  <Paragraphs>9</Paragraphs>
  <TotalTime>1</TotalTime>
  <ScaleCrop>false</ScaleCrop>
  <LinksUpToDate>false</LinksUpToDate>
  <CharactersWithSpaces>5037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微信用户</cp:lastModifiedBy>
  <cp:lastPrinted>2019-05-06T09:43:00Z</cp:lastPrinted>
  <dcterms:modified xsi:type="dcterms:W3CDTF">2023-04-14T08:43:46Z</dcterms:modified>
  <dc:title>中华人民共和国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A613DD1B75C44F42BCCFD94376B39B69</vt:lpwstr>
  </property>
</Properties>
</file>