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铜山项目镀锌钢格栅</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056</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铜山项目镀锌钢格栅226.32平方</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bookmarkStart w:id="0" w:name="_GoBack"/>
      <w:bookmarkEnd w:id="0"/>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合同签订，货到验收合格后收到发票入账，次月支付40%，年底支付不低于总货款的80%，剩余20%后两年内付清。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3F31D0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2762</Words>
  <Characters>3069</Characters>
  <Lines>56</Lines>
  <Paragraphs>15</Paragraphs>
  <TotalTime>23</TotalTime>
  <ScaleCrop>false</ScaleCrop>
  <LinksUpToDate>false</LinksUpToDate>
  <CharactersWithSpaces>3157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2023-04-07T09:31:09Z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