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铜陵铜冠商品混凝土有限责任公司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玄武岩和天然砂</w:t>
      </w:r>
      <w:r>
        <w:rPr>
          <w:rFonts w:hint="eastAsia" w:ascii="仿宋" w:hAnsi="仿宋" w:eastAsia="仿宋" w:cs="宋体"/>
          <w:b/>
          <w:bCs/>
          <w:kern w:val="1"/>
          <w:sz w:val="44"/>
          <w:szCs w:val="44"/>
          <w:u w:val="single"/>
        </w:rPr>
        <w:t>材料</w:t>
      </w: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350</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30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30</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1、本次招标</w:t>
      </w:r>
      <w:r>
        <w:rPr>
          <w:rFonts w:hint="eastAsia" w:ascii="仿宋" w:hAnsi="仿宋" w:eastAsia="仿宋" w:cs="仿宋_GB2312"/>
          <w:sz w:val="28"/>
          <w:szCs w:val="28"/>
          <w:u w:val="single"/>
        </w:rPr>
        <w:t>具体内容：</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1包玄武岩29</w:t>
      </w:r>
      <w:r>
        <w:rPr>
          <w:rFonts w:hint="eastAsia" w:ascii="仿宋" w:hAnsi="仿宋" w:eastAsia="仿宋" w:cs="仿宋_GB2312"/>
          <w:spacing w:val="6"/>
          <w:sz w:val="28"/>
          <w:szCs w:val="28"/>
          <w:u w:val="single"/>
        </w:rPr>
        <w:t>00</w:t>
      </w:r>
      <w:r>
        <w:rPr>
          <w:rFonts w:hint="eastAsia" w:ascii="仿宋" w:hAnsi="仿宋" w:eastAsia="仿宋" w:cs="仿宋_GB2312"/>
          <w:spacing w:val="-23"/>
          <w:sz w:val="28"/>
          <w:szCs w:val="28"/>
          <w:u w:val="single"/>
        </w:rPr>
        <w:t>吨；</w:t>
      </w:r>
    </w:p>
    <w:p>
      <w:pPr>
        <w:spacing w:line="560" w:lineRule="exact"/>
        <w:ind w:firstLine="936" w:firstLineChars="400"/>
        <w:rPr>
          <w:rFonts w:hint="eastAsia" w:ascii="仿宋" w:hAnsi="仿宋" w:eastAsia="仿宋" w:cs="仿宋_GB2312"/>
          <w:spacing w:val="-23"/>
          <w:sz w:val="28"/>
          <w:szCs w:val="28"/>
          <w:u w:val="single"/>
          <w:lang w:eastAsia="zh-CN"/>
        </w:rPr>
      </w:pPr>
      <w:r>
        <w:rPr>
          <w:rFonts w:hint="eastAsia" w:ascii="仿宋" w:hAnsi="仿宋" w:eastAsia="仿宋" w:cs="仿宋_GB2312"/>
          <w:spacing w:val="-23"/>
          <w:sz w:val="28"/>
          <w:szCs w:val="28"/>
          <w:u w:val="single"/>
          <w:lang w:val="en-US" w:eastAsia="zh-CN"/>
        </w:rPr>
        <w:t>2包天然砂20</w:t>
      </w:r>
      <w:r>
        <w:rPr>
          <w:rFonts w:hint="eastAsia" w:ascii="仿宋" w:hAnsi="仿宋" w:eastAsia="仿宋" w:cs="仿宋_GB2312"/>
          <w:spacing w:val="6"/>
          <w:sz w:val="28"/>
          <w:szCs w:val="28"/>
          <w:u w:val="single"/>
        </w:rPr>
        <w:t>00</w:t>
      </w:r>
      <w:r>
        <w:rPr>
          <w:rFonts w:hint="eastAsia" w:ascii="仿宋" w:hAnsi="仿宋" w:eastAsia="仿宋" w:cs="仿宋_GB2312"/>
          <w:spacing w:val="-23"/>
          <w:sz w:val="28"/>
          <w:szCs w:val="28"/>
          <w:u w:val="single"/>
        </w:rPr>
        <w:t>吨</w:t>
      </w:r>
      <w:r>
        <w:rPr>
          <w:rFonts w:hint="eastAsia" w:ascii="仿宋" w:hAnsi="仿宋" w:eastAsia="仿宋" w:cs="仿宋_GB2312"/>
          <w:spacing w:val="-23"/>
          <w:sz w:val="28"/>
          <w:szCs w:val="28"/>
          <w:u w:val="single"/>
          <w:lang w:eastAsia="zh-CN"/>
        </w:rPr>
        <w:t>。</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ind w:firstLine="562" w:firstLineChars="200"/>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spacing w:line="560" w:lineRule="exact"/>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bookmarkStart w:id="0" w:name="_GoBack"/>
      <w:bookmarkEnd w:id="0"/>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1、在</w:t>
      </w:r>
      <w:r>
        <w:rPr>
          <w:rFonts w:hint="eastAsia" w:ascii="仿宋" w:hAnsi="仿宋" w:eastAsia="仿宋" w:cs="仿宋_GB2312"/>
          <w:sz w:val="28"/>
          <w:szCs w:val="28"/>
          <w:highlight w:val="none"/>
        </w:rPr>
        <w:t>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w:t>
      </w:r>
      <w:r>
        <w:rPr>
          <w:rFonts w:hint="eastAsia" w:ascii="仿宋" w:hAnsi="仿宋" w:eastAsia="仿宋" w:cs="仿宋_GB2312"/>
          <w:sz w:val="28"/>
          <w:szCs w:val="28"/>
        </w:rPr>
        <w:t>须为一般纳税人或小规模纳税人</w:t>
      </w:r>
      <w:r>
        <w:rPr>
          <w:rFonts w:hint="eastAsia" w:ascii="仿宋" w:hAnsi="仿宋" w:eastAsia="仿宋" w:cs="仿宋_GB2312"/>
          <w:sz w:val="28"/>
          <w:szCs w:val="28"/>
          <w:highlight w:val="none"/>
        </w:rPr>
        <w:t>。</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rPr>
        <w:t>4、投标人营业执照所列示的经营范围必须涵盖本次招标材料品</w:t>
      </w:r>
      <w:r>
        <w:rPr>
          <w:rFonts w:hint="eastAsia" w:ascii="仿宋" w:hAnsi="仿宋" w:eastAsia="仿宋" w:cs="仿宋_GB2312"/>
          <w:sz w:val="28"/>
          <w:szCs w:val="28"/>
        </w:rPr>
        <w:t>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5</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val="en-US" w:eastAsia="zh-CN"/>
        </w:rPr>
        <w:t>1包</w:t>
      </w:r>
      <w:r>
        <w:rPr>
          <w:rFonts w:hint="eastAsia" w:ascii="仿宋" w:hAnsi="仿宋" w:eastAsia="仿宋" w:cs="仿宋_GB2312"/>
          <w:b/>
          <w:bCs/>
          <w:color w:val="000000"/>
          <w:sz w:val="28"/>
          <w:szCs w:val="28"/>
          <w:u w:val="single"/>
          <w:lang w:eastAsia="zh-CN"/>
        </w:rPr>
        <w:t>壹</w:t>
      </w:r>
      <w:r>
        <w:rPr>
          <w:rFonts w:hint="eastAsia" w:ascii="仿宋" w:hAnsi="仿宋" w:eastAsia="仿宋" w:cs="仿宋_GB2312"/>
          <w:b/>
          <w:bCs/>
          <w:color w:val="000000"/>
          <w:sz w:val="28"/>
          <w:szCs w:val="28"/>
          <w:u w:val="single"/>
        </w:rPr>
        <w:t>万元整</w:t>
      </w:r>
      <w:r>
        <w:rPr>
          <w:rFonts w:hint="eastAsia" w:ascii="仿宋" w:hAnsi="仿宋" w:eastAsia="仿宋" w:cs="仿宋_GB2312"/>
          <w:b/>
          <w:bCs/>
          <w:color w:val="000000"/>
          <w:sz w:val="28"/>
          <w:szCs w:val="28"/>
          <w:u w:val="single"/>
          <w:lang w:eastAsia="zh-CN"/>
        </w:rPr>
        <w:t>；</w:t>
      </w:r>
      <w:r>
        <w:rPr>
          <w:rFonts w:hint="eastAsia" w:ascii="仿宋" w:hAnsi="仿宋" w:eastAsia="仿宋" w:cs="仿宋_GB2312"/>
          <w:b/>
          <w:bCs/>
          <w:color w:val="000000"/>
          <w:sz w:val="28"/>
          <w:szCs w:val="28"/>
          <w:u w:val="single"/>
          <w:lang w:val="en-US" w:eastAsia="zh-CN"/>
        </w:rPr>
        <w:t>2包</w:t>
      </w:r>
      <w:r>
        <w:rPr>
          <w:rFonts w:hint="eastAsia" w:ascii="仿宋" w:hAnsi="仿宋" w:eastAsia="仿宋" w:cs="仿宋_GB2312"/>
          <w:b/>
          <w:bCs/>
          <w:color w:val="000000"/>
          <w:sz w:val="28"/>
          <w:szCs w:val="28"/>
          <w:u w:val="single"/>
          <w:lang w:eastAsia="zh-CN"/>
        </w:rPr>
        <w:t>壹</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铜陵铜冠商品混凝土有限责任公司</w:t>
      </w:r>
      <w:r>
        <w:rPr>
          <w:rFonts w:hint="eastAsia" w:ascii="仿宋" w:hAnsi="仿宋" w:eastAsia="仿宋" w:cs="仿宋_GB2312"/>
          <w:b/>
          <w:bCs/>
          <w:sz w:val="28"/>
          <w:szCs w:val="28"/>
          <w:u w:val="single"/>
          <w:lang w:eastAsia="zh-CN"/>
        </w:rPr>
        <w:t>玄武岩或天然砂</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350</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
          <w:sz w:val="28"/>
          <w:szCs w:val="28"/>
          <w:lang w:eastAsia="zh-CN"/>
        </w:rPr>
      </w:pPr>
      <w:r>
        <w:rPr>
          <w:rFonts w:hint="eastAsia" w:ascii="仿宋" w:hAnsi="仿宋" w:eastAsia="仿宋" w:cs="仿宋"/>
          <w:sz w:val="28"/>
          <w:szCs w:val="28"/>
        </w:rPr>
        <w:t>（1）材料质量要求</w:t>
      </w:r>
      <w:r>
        <w:rPr>
          <w:rFonts w:hint="eastAsia" w:ascii="仿宋" w:hAnsi="仿宋" w:eastAsia="仿宋" w:cs="仿宋"/>
          <w:sz w:val="28"/>
          <w:szCs w:val="28"/>
          <w:lang w:eastAsia="zh-CN"/>
        </w:rPr>
        <w:t>，</w:t>
      </w:r>
      <w:r>
        <w:rPr>
          <w:rFonts w:hint="eastAsia" w:ascii="仿宋" w:hAnsi="仿宋" w:eastAsia="仿宋" w:cs="仿宋"/>
          <w:b w:val="0"/>
          <w:bCs w:val="0"/>
          <w:sz w:val="28"/>
          <w:szCs w:val="28"/>
          <w:lang w:eastAsia="zh-CN"/>
        </w:rPr>
        <w:t>按照</w:t>
      </w:r>
      <w:r>
        <w:rPr>
          <w:rFonts w:hint="eastAsia" w:ascii="仿宋" w:hAnsi="仿宋" w:eastAsia="仿宋" w:cs="仿宋"/>
          <w:b w:val="0"/>
          <w:bCs w:val="0"/>
          <w:sz w:val="28"/>
          <w:szCs w:val="28"/>
        </w:rPr>
        <w:t>JGJ52-2006执行</w:t>
      </w:r>
      <w:r>
        <w:rPr>
          <w:rFonts w:hint="eastAsia" w:ascii="仿宋" w:hAnsi="仿宋" w:eastAsia="仿宋" w:cs="仿宋"/>
          <w:b w:val="0"/>
          <w:bCs w:val="0"/>
          <w:spacing w:val="-11"/>
          <w:sz w:val="28"/>
          <w:szCs w:val="28"/>
        </w:rPr>
        <w:t>。</w:t>
      </w:r>
    </w:p>
    <w:p>
      <w:pPr>
        <w:rPr>
          <w:rFonts w:hint="eastAsia" w:ascii="仿宋" w:hAnsi="仿宋" w:eastAsia="仿宋" w:cs="仿宋"/>
          <w:sz w:val="24"/>
          <w:szCs w:val="24"/>
        </w:rPr>
      </w:pPr>
      <w:r>
        <w:rPr>
          <w:rFonts w:hint="eastAsia" w:ascii="仿宋" w:hAnsi="仿宋" w:eastAsia="仿宋" w:cs="仿宋"/>
          <w:b w:val="0"/>
          <w:bCs w:val="0"/>
          <w:spacing w:val="-23"/>
          <w:sz w:val="28"/>
          <w:szCs w:val="28"/>
          <w:u w:val="none"/>
          <w:lang w:eastAsia="zh-CN"/>
        </w:rPr>
        <w:t>玄武岩：</w:t>
      </w:r>
      <w:r>
        <w:rPr>
          <w:rFonts w:hint="eastAsia" w:ascii="仿宋" w:hAnsi="仿宋" w:eastAsia="仿宋" w:cs="仿宋"/>
          <w:sz w:val="24"/>
          <w:szCs w:val="24"/>
        </w:rPr>
        <w:t>1、针、片状颗粒含量</w:t>
      </w:r>
    </w:p>
    <w:tbl>
      <w:tblPr>
        <w:tblStyle w:val="54"/>
        <w:tblW w:w="8640" w:type="dxa"/>
        <w:tblInd w:w="0" w:type="dxa"/>
        <w:tblLayout w:type="fixed"/>
        <w:tblCellMar>
          <w:top w:w="0" w:type="dxa"/>
          <w:left w:w="0" w:type="dxa"/>
          <w:bottom w:w="0" w:type="dxa"/>
          <w:right w:w="0" w:type="dxa"/>
        </w:tblCellMar>
      </w:tblPr>
      <w:tblGrid>
        <w:gridCol w:w="3034"/>
        <w:gridCol w:w="5606"/>
      </w:tblGrid>
      <w:tr>
        <w:tblPrEx>
          <w:tblLayout w:type="fixed"/>
          <w:tblCellMar>
            <w:top w:w="0" w:type="dxa"/>
            <w:left w:w="0" w:type="dxa"/>
            <w:bottom w:w="0" w:type="dxa"/>
            <w:right w:w="0" w:type="dxa"/>
          </w:tblCellMar>
        </w:tblPrEx>
        <w:trPr>
          <w:trHeight w:val="427" w:hRule="atLeast"/>
        </w:trPr>
        <w:tc>
          <w:tcPr>
            <w:tcW w:w="30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混凝土强度等级</w:t>
            </w:r>
          </w:p>
        </w:tc>
        <w:tc>
          <w:tcPr>
            <w:tcW w:w="56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≤C60</w:t>
            </w:r>
          </w:p>
        </w:tc>
      </w:tr>
      <w:tr>
        <w:tblPrEx>
          <w:tblLayout w:type="fixed"/>
          <w:tblCellMar>
            <w:top w:w="0" w:type="dxa"/>
            <w:left w:w="0" w:type="dxa"/>
            <w:bottom w:w="0" w:type="dxa"/>
            <w:right w:w="0" w:type="dxa"/>
          </w:tblCellMar>
        </w:tblPrEx>
        <w:trPr>
          <w:trHeight w:val="542" w:hRule="atLeast"/>
        </w:trPr>
        <w:tc>
          <w:tcPr>
            <w:tcW w:w="30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针、片状颗粒含量</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（按质量计，%）</w:t>
            </w:r>
          </w:p>
        </w:tc>
        <w:tc>
          <w:tcPr>
            <w:tcW w:w="56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≤8</w:t>
            </w:r>
          </w:p>
        </w:tc>
      </w:tr>
    </w:tbl>
    <w:p>
      <w:pPr>
        <w:numPr>
          <w:ilvl w:val="0"/>
          <w:numId w:val="2"/>
        </w:numPr>
        <w:rPr>
          <w:rFonts w:hint="eastAsia" w:ascii="仿宋" w:hAnsi="仿宋" w:eastAsia="仿宋" w:cs="仿宋"/>
          <w:sz w:val="24"/>
          <w:szCs w:val="24"/>
        </w:rPr>
      </w:pPr>
      <w:r>
        <w:rPr>
          <w:rFonts w:hint="eastAsia" w:ascii="仿宋" w:hAnsi="仿宋" w:eastAsia="仿宋" w:cs="仿宋"/>
          <w:sz w:val="24"/>
          <w:szCs w:val="24"/>
        </w:rPr>
        <w:t>含泥量</w:t>
      </w:r>
    </w:p>
    <w:tbl>
      <w:tblPr>
        <w:tblStyle w:val="54"/>
        <w:tblW w:w="8640" w:type="dxa"/>
        <w:tblInd w:w="0" w:type="dxa"/>
        <w:tblLayout w:type="fixed"/>
        <w:tblCellMar>
          <w:top w:w="0" w:type="dxa"/>
          <w:left w:w="0" w:type="dxa"/>
          <w:bottom w:w="0" w:type="dxa"/>
          <w:right w:w="0" w:type="dxa"/>
        </w:tblCellMar>
      </w:tblPr>
      <w:tblGrid>
        <w:gridCol w:w="3034"/>
        <w:gridCol w:w="5606"/>
      </w:tblGrid>
      <w:tr>
        <w:tblPrEx>
          <w:tblLayout w:type="fixed"/>
          <w:tblCellMar>
            <w:top w:w="0" w:type="dxa"/>
            <w:left w:w="0" w:type="dxa"/>
            <w:bottom w:w="0" w:type="dxa"/>
            <w:right w:w="0" w:type="dxa"/>
          </w:tblCellMar>
        </w:tblPrEx>
        <w:trPr>
          <w:trHeight w:val="484" w:hRule="atLeast"/>
        </w:trPr>
        <w:tc>
          <w:tcPr>
            <w:tcW w:w="30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混凝土强度等级</w:t>
            </w:r>
          </w:p>
        </w:tc>
        <w:tc>
          <w:tcPr>
            <w:tcW w:w="56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≤C60</w:t>
            </w:r>
          </w:p>
        </w:tc>
      </w:tr>
      <w:tr>
        <w:tblPrEx>
          <w:tblLayout w:type="fixed"/>
          <w:tblCellMar>
            <w:top w:w="0" w:type="dxa"/>
            <w:left w:w="0" w:type="dxa"/>
            <w:bottom w:w="0" w:type="dxa"/>
            <w:right w:w="0" w:type="dxa"/>
          </w:tblCellMar>
        </w:tblPrEx>
        <w:trPr>
          <w:trHeight w:val="492" w:hRule="atLeast"/>
        </w:trPr>
        <w:tc>
          <w:tcPr>
            <w:tcW w:w="30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含泥量（按质量计，%）</w:t>
            </w:r>
          </w:p>
        </w:tc>
        <w:tc>
          <w:tcPr>
            <w:tcW w:w="560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≤1.0</w:t>
            </w:r>
          </w:p>
        </w:tc>
      </w:tr>
    </w:tbl>
    <w:p>
      <w:pPr>
        <w:numPr>
          <w:ilvl w:val="0"/>
          <w:numId w:val="2"/>
        </w:numPr>
        <w:rPr>
          <w:rFonts w:hint="eastAsia" w:ascii="仿宋" w:hAnsi="仿宋" w:eastAsia="仿宋" w:cs="仿宋"/>
          <w:sz w:val="24"/>
          <w:szCs w:val="24"/>
        </w:rPr>
      </w:pPr>
      <w:r>
        <w:rPr>
          <w:rFonts w:hint="eastAsia" w:ascii="仿宋" w:hAnsi="仿宋" w:eastAsia="仿宋" w:cs="仿宋"/>
          <w:sz w:val="24"/>
          <w:szCs w:val="24"/>
        </w:rPr>
        <w:t>泥块含量</w:t>
      </w:r>
    </w:p>
    <w:tbl>
      <w:tblPr>
        <w:tblStyle w:val="54"/>
        <w:tblW w:w="8580" w:type="dxa"/>
        <w:tblInd w:w="0" w:type="dxa"/>
        <w:tblLayout w:type="fixed"/>
        <w:tblCellMar>
          <w:top w:w="0" w:type="dxa"/>
          <w:left w:w="0" w:type="dxa"/>
          <w:bottom w:w="0" w:type="dxa"/>
          <w:right w:w="0" w:type="dxa"/>
        </w:tblCellMar>
      </w:tblPr>
      <w:tblGrid>
        <w:gridCol w:w="3013"/>
        <w:gridCol w:w="5567"/>
      </w:tblGrid>
      <w:tr>
        <w:tblPrEx>
          <w:tblLayout w:type="fixed"/>
          <w:tblCellMar>
            <w:top w:w="0" w:type="dxa"/>
            <w:left w:w="0" w:type="dxa"/>
            <w:bottom w:w="0" w:type="dxa"/>
            <w:right w:w="0" w:type="dxa"/>
          </w:tblCellMar>
        </w:tblPrEx>
        <w:trPr>
          <w:trHeight w:val="492" w:hRule="atLeast"/>
        </w:trPr>
        <w:tc>
          <w:tcPr>
            <w:tcW w:w="30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混凝土强度等级</w:t>
            </w:r>
          </w:p>
        </w:tc>
        <w:tc>
          <w:tcPr>
            <w:tcW w:w="5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≤C60</w:t>
            </w:r>
          </w:p>
        </w:tc>
      </w:tr>
      <w:tr>
        <w:tblPrEx>
          <w:tblLayout w:type="fixed"/>
          <w:tblCellMar>
            <w:top w:w="0" w:type="dxa"/>
            <w:left w:w="0" w:type="dxa"/>
            <w:bottom w:w="0" w:type="dxa"/>
            <w:right w:w="0" w:type="dxa"/>
          </w:tblCellMar>
        </w:tblPrEx>
        <w:trPr>
          <w:trHeight w:val="499" w:hRule="atLeast"/>
        </w:trPr>
        <w:tc>
          <w:tcPr>
            <w:tcW w:w="30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泥块含量（按质量计，%）</w:t>
            </w:r>
          </w:p>
        </w:tc>
        <w:tc>
          <w:tcPr>
            <w:tcW w:w="55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≤0.5</w:t>
            </w:r>
          </w:p>
        </w:tc>
      </w:tr>
    </w:tbl>
    <w:p>
      <w:pPr>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压碎值指标</w:t>
      </w:r>
    </w:p>
    <w:tbl>
      <w:tblPr>
        <w:tblStyle w:val="54"/>
        <w:tblW w:w="8582" w:type="dxa"/>
        <w:jc w:val="center"/>
        <w:tblInd w:w="-2206" w:type="dxa"/>
        <w:tblLayout w:type="fixed"/>
        <w:tblCellMar>
          <w:top w:w="0" w:type="dxa"/>
          <w:left w:w="0" w:type="dxa"/>
          <w:bottom w:w="0" w:type="dxa"/>
          <w:right w:w="0" w:type="dxa"/>
        </w:tblCellMar>
      </w:tblPr>
      <w:tblGrid>
        <w:gridCol w:w="3307"/>
        <w:gridCol w:w="2401"/>
        <w:gridCol w:w="2874"/>
      </w:tblGrid>
      <w:tr>
        <w:tblPrEx>
          <w:tblLayout w:type="fixed"/>
          <w:tblCellMar>
            <w:top w:w="0" w:type="dxa"/>
            <w:left w:w="0" w:type="dxa"/>
            <w:bottom w:w="0" w:type="dxa"/>
            <w:right w:w="0" w:type="dxa"/>
          </w:tblCellMar>
        </w:tblPrEx>
        <w:trPr>
          <w:trHeight w:val="506" w:hRule="atLeast"/>
          <w:jc w:val="center"/>
        </w:trPr>
        <w:tc>
          <w:tcPr>
            <w:tcW w:w="33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岩石品种</w:t>
            </w:r>
          </w:p>
        </w:tc>
        <w:tc>
          <w:tcPr>
            <w:tcW w:w="24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混凝土强度等级</w:t>
            </w: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碎石压碎值指标</w:t>
            </w:r>
          </w:p>
        </w:tc>
      </w:tr>
      <w:tr>
        <w:tblPrEx>
          <w:tblLayout w:type="fixed"/>
          <w:tblCellMar>
            <w:top w:w="0" w:type="dxa"/>
            <w:left w:w="0" w:type="dxa"/>
            <w:bottom w:w="0" w:type="dxa"/>
            <w:right w:w="0" w:type="dxa"/>
          </w:tblCellMar>
        </w:tblPrEx>
        <w:trPr>
          <w:trHeight w:val="515" w:hRule="atLeast"/>
          <w:jc w:val="center"/>
        </w:trPr>
        <w:tc>
          <w:tcPr>
            <w:tcW w:w="330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碎石或卵石</w:t>
            </w:r>
          </w:p>
        </w:tc>
        <w:tc>
          <w:tcPr>
            <w:tcW w:w="240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C60～C20</w:t>
            </w:r>
          </w:p>
        </w:tc>
        <w:tc>
          <w:tcPr>
            <w:tcW w:w="28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lang w:eastAsia="zh-CN"/>
              </w:rPr>
            </w:pPr>
            <w:r>
              <w:rPr>
                <w:rFonts w:hint="eastAsia" w:ascii="仿宋" w:hAnsi="仿宋" w:eastAsia="仿宋" w:cs="仿宋"/>
                <w:color w:val="000000"/>
                <w:kern w:val="0"/>
                <w:sz w:val="24"/>
                <w:szCs w:val="24"/>
                <w:lang w:bidi="ar"/>
              </w:rPr>
              <w:t>≤</w:t>
            </w:r>
            <w:r>
              <w:rPr>
                <w:rFonts w:hint="eastAsia" w:ascii="仿宋" w:hAnsi="仿宋" w:eastAsia="仿宋" w:cs="仿宋"/>
                <w:color w:val="000000"/>
                <w:kern w:val="0"/>
                <w:sz w:val="24"/>
                <w:szCs w:val="24"/>
                <w:lang w:val="en-US" w:eastAsia="zh-CN" w:bidi="ar"/>
              </w:rPr>
              <w:t>7</w:t>
            </w:r>
          </w:p>
        </w:tc>
      </w:tr>
    </w:tbl>
    <w:p>
      <w:pPr>
        <w:numPr>
          <w:ilvl w:val="0"/>
          <w:numId w:val="0"/>
        </w:numPr>
        <w:spacing w:line="560" w:lineRule="exact"/>
        <w:ind w:leftChars="0"/>
        <w:rPr>
          <w:rFonts w:hint="eastAsia" w:ascii="仿宋" w:hAnsi="仿宋" w:eastAsia="仿宋" w:cs="仿宋"/>
          <w:sz w:val="24"/>
          <w:szCs w:val="24"/>
          <w:lang w:eastAsia="zh-CN"/>
        </w:rPr>
      </w:pPr>
      <w:r>
        <w:rPr>
          <w:rFonts w:hint="eastAsia" w:ascii="仿宋" w:hAnsi="仿宋" w:eastAsia="仿宋" w:cs="仿宋"/>
          <w:sz w:val="24"/>
          <w:szCs w:val="24"/>
          <w:lang w:val="en-US" w:eastAsia="zh-CN"/>
        </w:rPr>
        <w:t>5、二氧化硅含量≥60%，</w:t>
      </w:r>
      <w:r>
        <w:rPr>
          <w:rFonts w:hint="eastAsia" w:ascii="仿宋" w:hAnsi="仿宋" w:eastAsia="仿宋" w:cs="仿宋"/>
          <w:sz w:val="24"/>
          <w:szCs w:val="24"/>
        </w:rPr>
        <w:t>应采用连续粒级</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5～20mm</w:t>
      </w:r>
      <w:r>
        <w:rPr>
          <w:rFonts w:hint="eastAsia" w:ascii="仿宋" w:hAnsi="仿宋" w:eastAsia="仿宋" w:cs="仿宋"/>
          <w:sz w:val="24"/>
          <w:szCs w:val="24"/>
          <w:lang w:eastAsia="zh-CN"/>
        </w:rPr>
        <w:t>）</w:t>
      </w:r>
      <w:r>
        <w:rPr>
          <w:rFonts w:hint="eastAsia" w:ascii="仿宋" w:hAnsi="仿宋" w:eastAsia="仿宋" w:cs="仿宋"/>
          <w:sz w:val="24"/>
          <w:szCs w:val="24"/>
        </w:rPr>
        <w:t>，不允许含水</w:t>
      </w:r>
      <w:r>
        <w:rPr>
          <w:rFonts w:hint="eastAsia" w:ascii="仿宋" w:hAnsi="仿宋" w:eastAsia="仿宋" w:cs="仿宋"/>
          <w:sz w:val="24"/>
          <w:szCs w:val="24"/>
          <w:lang w:eastAsia="zh-CN"/>
        </w:rPr>
        <w:t>。</w:t>
      </w:r>
    </w:p>
    <w:p>
      <w:pPr>
        <w:numPr>
          <w:ilvl w:val="0"/>
          <w:numId w:val="0"/>
        </w:numPr>
        <w:rPr>
          <w:rFonts w:hint="eastAsia" w:ascii="仿宋" w:hAnsi="仿宋" w:eastAsia="仿宋" w:cs="仿宋"/>
          <w:sz w:val="24"/>
          <w:szCs w:val="24"/>
          <w:lang w:eastAsia="zh-CN"/>
        </w:rPr>
      </w:pPr>
    </w:p>
    <w:p>
      <w:pPr>
        <w:numPr>
          <w:ilvl w:val="0"/>
          <w:numId w:val="0"/>
        </w:numPr>
        <w:rPr>
          <w:rFonts w:hint="eastAsia" w:ascii="仿宋" w:hAnsi="仿宋" w:eastAsia="仿宋" w:cs="仿宋"/>
          <w:sz w:val="24"/>
          <w:szCs w:val="24"/>
        </w:rPr>
      </w:pPr>
      <w:r>
        <w:rPr>
          <w:rFonts w:hint="eastAsia" w:ascii="仿宋" w:hAnsi="仿宋" w:eastAsia="仿宋" w:cs="仿宋"/>
          <w:sz w:val="28"/>
          <w:szCs w:val="28"/>
          <w:lang w:eastAsia="zh-CN"/>
        </w:rPr>
        <w:t>天然砂：</w:t>
      </w:r>
      <w:r>
        <w:rPr>
          <w:rFonts w:hint="eastAsia" w:ascii="仿宋" w:hAnsi="仿宋" w:eastAsia="仿宋" w:cs="仿宋"/>
          <w:sz w:val="24"/>
          <w:szCs w:val="24"/>
          <w:lang w:val="en-US" w:eastAsia="zh-CN"/>
        </w:rPr>
        <w:t>1、</w:t>
      </w:r>
      <w:r>
        <w:rPr>
          <w:rFonts w:hint="eastAsia" w:ascii="仿宋" w:hAnsi="仿宋" w:eastAsia="仿宋" w:cs="仿宋"/>
          <w:sz w:val="24"/>
          <w:szCs w:val="24"/>
        </w:rPr>
        <w:t>细度模数</w:t>
      </w:r>
      <w:r>
        <w:rPr>
          <w:rFonts w:hint="eastAsia" w:ascii="仿宋" w:hAnsi="仿宋" w:eastAsia="仿宋" w:cs="仿宋"/>
          <w:sz w:val="24"/>
          <w:szCs w:val="24"/>
          <w:lang w:val="en-US" w:eastAsia="zh-CN"/>
        </w:rPr>
        <w:t>2.0</w:t>
      </w:r>
      <w:r>
        <w:rPr>
          <w:rFonts w:hint="eastAsia" w:ascii="仿宋" w:hAnsi="仿宋" w:eastAsia="仿宋" w:cs="仿宋"/>
          <w:sz w:val="24"/>
          <w:szCs w:val="24"/>
        </w:rPr>
        <w:t>-2.</w:t>
      </w:r>
      <w:r>
        <w:rPr>
          <w:rFonts w:hint="eastAsia" w:ascii="仿宋" w:hAnsi="仿宋" w:eastAsia="仿宋" w:cs="仿宋"/>
          <w:sz w:val="24"/>
          <w:szCs w:val="24"/>
          <w:lang w:val="en-US" w:eastAsia="zh-CN"/>
        </w:rPr>
        <w:t>6</w:t>
      </w:r>
      <w:r>
        <w:rPr>
          <w:rFonts w:hint="eastAsia" w:ascii="仿宋" w:hAnsi="仿宋" w:eastAsia="仿宋" w:cs="仿宋"/>
          <w:sz w:val="24"/>
          <w:szCs w:val="24"/>
        </w:rPr>
        <w:t>，Ⅱ区中砂</w:t>
      </w:r>
    </w:p>
    <w:p>
      <w:pPr>
        <w:numPr>
          <w:ilvl w:val="0"/>
          <w:numId w:val="0"/>
        </w:numPr>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含泥量</w:t>
      </w:r>
    </w:p>
    <w:tbl>
      <w:tblPr>
        <w:tblStyle w:val="54"/>
        <w:tblW w:w="8760" w:type="dxa"/>
        <w:tblInd w:w="0" w:type="dxa"/>
        <w:tblLayout w:type="fixed"/>
        <w:tblCellMar>
          <w:top w:w="0" w:type="dxa"/>
          <w:left w:w="0" w:type="dxa"/>
          <w:bottom w:w="0" w:type="dxa"/>
          <w:right w:w="0" w:type="dxa"/>
        </w:tblCellMar>
      </w:tblPr>
      <w:tblGrid>
        <w:gridCol w:w="3045"/>
        <w:gridCol w:w="5715"/>
      </w:tblGrid>
      <w:tr>
        <w:tblPrEx>
          <w:tblLayout w:type="fixed"/>
          <w:tblCellMar>
            <w:top w:w="0" w:type="dxa"/>
            <w:left w:w="0" w:type="dxa"/>
            <w:bottom w:w="0" w:type="dxa"/>
            <w:right w:w="0" w:type="dxa"/>
          </w:tblCellMar>
        </w:tblPrEx>
        <w:trPr>
          <w:trHeight w:val="506" w:hRule="atLeast"/>
        </w:trPr>
        <w:tc>
          <w:tcPr>
            <w:tcW w:w="30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混凝土强度等级</w:t>
            </w:r>
          </w:p>
        </w:tc>
        <w:tc>
          <w:tcPr>
            <w:tcW w:w="57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≤C60</w:t>
            </w:r>
          </w:p>
        </w:tc>
      </w:tr>
      <w:tr>
        <w:tblPrEx>
          <w:tblLayout w:type="fixed"/>
          <w:tblCellMar>
            <w:top w:w="0" w:type="dxa"/>
            <w:left w:w="0" w:type="dxa"/>
            <w:bottom w:w="0" w:type="dxa"/>
            <w:right w:w="0" w:type="dxa"/>
          </w:tblCellMar>
        </w:tblPrEx>
        <w:trPr>
          <w:trHeight w:val="515" w:hRule="atLeast"/>
        </w:trPr>
        <w:tc>
          <w:tcPr>
            <w:tcW w:w="30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含泥量（按质量计，%）</w:t>
            </w:r>
          </w:p>
        </w:tc>
        <w:tc>
          <w:tcPr>
            <w:tcW w:w="57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≤3.0</w:t>
            </w:r>
          </w:p>
        </w:tc>
      </w:tr>
    </w:tbl>
    <w:p>
      <w:pPr>
        <w:rPr>
          <w:rFonts w:hint="eastAsia" w:ascii="仿宋" w:hAnsi="仿宋" w:eastAsia="仿宋" w:cs="仿宋"/>
          <w:sz w:val="24"/>
          <w:szCs w:val="24"/>
        </w:rPr>
      </w:pPr>
      <w:r>
        <w:rPr>
          <w:rFonts w:hint="eastAsia" w:ascii="仿宋" w:hAnsi="仿宋" w:eastAsia="仿宋" w:cs="仿宋"/>
          <w:sz w:val="24"/>
          <w:szCs w:val="24"/>
        </w:rPr>
        <w:t>3、泥块含量</w:t>
      </w:r>
    </w:p>
    <w:tbl>
      <w:tblPr>
        <w:tblStyle w:val="54"/>
        <w:tblW w:w="8780" w:type="dxa"/>
        <w:tblInd w:w="0" w:type="dxa"/>
        <w:tblLayout w:type="fixed"/>
        <w:tblCellMar>
          <w:top w:w="0" w:type="dxa"/>
          <w:left w:w="0" w:type="dxa"/>
          <w:bottom w:w="0" w:type="dxa"/>
          <w:right w:w="0" w:type="dxa"/>
        </w:tblCellMar>
      </w:tblPr>
      <w:tblGrid>
        <w:gridCol w:w="3052"/>
        <w:gridCol w:w="5728"/>
      </w:tblGrid>
      <w:tr>
        <w:tblPrEx>
          <w:tblLayout w:type="fixed"/>
          <w:tblCellMar>
            <w:top w:w="0" w:type="dxa"/>
            <w:left w:w="0" w:type="dxa"/>
            <w:bottom w:w="0" w:type="dxa"/>
            <w:right w:w="0" w:type="dxa"/>
          </w:tblCellMar>
        </w:tblPrEx>
        <w:trPr>
          <w:trHeight w:val="514" w:hRule="atLeast"/>
        </w:trPr>
        <w:tc>
          <w:tcPr>
            <w:tcW w:w="3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混凝土强度等级</w:t>
            </w:r>
          </w:p>
        </w:tc>
        <w:tc>
          <w:tcPr>
            <w:tcW w:w="5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≤C60</w:t>
            </w:r>
          </w:p>
        </w:tc>
      </w:tr>
      <w:tr>
        <w:tblPrEx>
          <w:tblLayout w:type="fixed"/>
          <w:tblCellMar>
            <w:top w:w="0" w:type="dxa"/>
            <w:left w:w="0" w:type="dxa"/>
            <w:bottom w:w="0" w:type="dxa"/>
            <w:right w:w="0" w:type="dxa"/>
          </w:tblCellMar>
        </w:tblPrEx>
        <w:trPr>
          <w:trHeight w:val="522" w:hRule="atLeast"/>
        </w:trPr>
        <w:tc>
          <w:tcPr>
            <w:tcW w:w="305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泥块含量（按质量计，%）</w:t>
            </w:r>
          </w:p>
        </w:tc>
        <w:tc>
          <w:tcPr>
            <w:tcW w:w="5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≤1.0</w:t>
            </w:r>
          </w:p>
        </w:tc>
      </w:tr>
    </w:tbl>
    <w:p>
      <w:pPr>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、氯离子含量</w:t>
      </w:r>
    </w:p>
    <w:p>
      <w:pPr>
        <w:rPr>
          <w:rFonts w:hint="eastAsia" w:ascii="仿宋" w:hAnsi="仿宋" w:eastAsia="仿宋" w:cs="仿宋"/>
          <w:sz w:val="24"/>
          <w:szCs w:val="24"/>
        </w:rPr>
      </w:pPr>
      <w:r>
        <w:rPr>
          <w:rFonts w:hint="eastAsia" w:ascii="仿宋" w:hAnsi="仿宋" w:eastAsia="仿宋" w:cs="仿宋"/>
          <w:sz w:val="24"/>
          <w:szCs w:val="24"/>
        </w:rPr>
        <w:t>氯离子含量≤0.06%（以干砂的质量百分率计）</w:t>
      </w:r>
    </w:p>
    <w:p>
      <w:pPr>
        <w:numPr>
          <w:ilvl w:val="0"/>
          <w:numId w:val="0"/>
        </w:numPr>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含水率</w:t>
      </w:r>
    </w:p>
    <w:p>
      <w:pPr>
        <w:rPr>
          <w:rFonts w:hint="eastAsia" w:ascii="仿宋" w:hAnsi="仿宋" w:eastAsia="仿宋" w:cs="仿宋"/>
          <w:sz w:val="24"/>
          <w:szCs w:val="24"/>
          <w:lang w:eastAsia="zh-CN"/>
        </w:rPr>
      </w:pPr>
      <w:r>
        <w:rPr>
          <w:rFonts w:hint="eastAsia" w:ascii="仿宋" w:hAnsi="仿宋" w:eastAsia="仿宋" w:cs="仿宋"/>
          <w:sz w:val="24"/>
          <w:szCs w:val="24"/>
        </w:rPr>
        <w:t>含水率不得超过5%</w:t>
      </w:r>
      <w:r>
        <w:rPr>
          <w:rFonts w:hint="eastAsia" w:ascii="仿宋" w:hAnsi="仿宋" w:eastAsia="仿宋" w:cs="仿宋"/>
          <w:sz w:val="24"/>
          <w:szCs w:val="24"/>
          <w:lang w:eastAsia="zh-CN"/>
        </w:rPr>
        <w:t>。</w:t>
      </w:r>
    </w:p>
    <w:p>
      <w:pPr>
        <w:spacing w:line="560" w:lineRule="exact"/>
        <w:ind w:firstLine="638" w:firstLineChars="228"/>
        <w:rPr>
          <w:rFonts w:hint="eastAsia" w:ascii="仿宋" w:hAnsi="仿宋" w:eastAsia="仿宋" w:cs="仿宋"/>
          <w:sz w:val="28"/>
          <w:szCs w:val="28"/>
        </w:rPr>
      </w:pPr>
    </w:p>
    <w:p>
      <w:pPr>
        <w:spacing w:line="560" w:lineRule="exact"/>
        <w:ind w:firstLine="638" w:firstLineChars="228"/>
        <w:rPr>
          <w:rFonts w:hint="eastAsia" w:ascii="仿宋" w:hAnsi="仿宋" w:eastAsia="仿宋" w:cs="仿宋"/>
          <w:sz w:val="28"/>
          <w:szCs w:val="28"/>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
          <w:sz w:val="28"/>
          <w:szCs w:val="28"/>
        </w:rPr>
        <w:t>（2）投标人如若中标，提供的材料必须符合技</w:t>
      </w:r>
      <w:r>
        <w:rPr>
          <w:rFonts w:hint="eastAsia" w:ascii="仿宋" w:hAnsi="仿宋" w:eastAsia="仿宋" w:cs="仿宋_GB2312"/>
          <w:sz w:val="28"/>
          <w:szCs w:val="28"/>
        </w:rPr>
        <w:t>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材料送至铜陵铜冠商品混凝土有限责任公司(天马山矿区内)。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b w:val="0"/>
          <w:bCs w:val="0"/>
          <w:sz w:val="28"/>
          <w:szCs w:val="28"/>
          <w:highlight w:val="green"/>
        </w:rPr>
      </w:pPr>
      <w:r>
        <w:rPr>
          <w:rFonts w:hint="eastAsia" w:ascii="仿宋" w:hAnsi="仿宋" w:eastAsia="仿宋" w:cs="仿宋_GB2312"/>
          <w:sz w:val="28"/>
          <w:szCs w:val="28"/>
        </w:rPr>
        <w:t>（1）</w:t>
      </w:r>
      <w:r>
        <w:rPr>
          <w:rFonts w:hint="eastAsia" w:ascii="仿宋" w:hAnsi="仿宋" w:eastAsia="仿宋" w:cs="仿宋_GB2312"/>
          <w:b w:val="0"/>
          <w:bCs w:val="0"/>
          <w:sz w:val="28"/>
          <w:szCs w:val="28"/>
          <w:u w:val="single"/>
        </w:rPr>
        <w:t>报价为含税（税率必须注明）、含运费价。</w:t>
      </w:r>
    </w:p>
    <w:p>
      <w:pPr>
        <w:spacing w:line="560" w:lineRule="exact"/>
        <w:ind w:left="560"/>
        <w:rPr>
          <w:rFonts w:ascii="仿宋" w:hAnsi="仿宋" w:eastAsia="仿宋" w:cs="仿宋_GB2312"/>
          <w:sz w:val="28"/>
          <w:szCs w:val="28"/>
        </w:rPr>
      </w:pPr>
      <w:r>
        <w:rPr>
          <w:rFonts w:hint="eastAsia" w:ascii="仿宋" w:hAnsi="仿宋" w:eastAsia="仿宋" w:cs="仿宋_GB2312"/>
          <w:b w:val="0"/>
          <w:bCs w:val="0"/>
          <w:sz w:val="28"/>
          <w:szCs w:val="28"/>
        </w:rPr>
        <w:t>（2）报价要谨慎，一旦中标，视为理解并考虑了我公司一切要求的报价，不得以任何理由变更。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（1）每车供货数量的确认：以铜冠商品混凝土公司出具的磅单为准。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（2）每月供货数量的确认：供方每月25号与需方核对本月供应数量和金额，供应数量按照需方磅单为结算数量，供需双方共同确认供应数量和金额后在结算单上签字。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20%货款2024年春节前付清。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w:t>
      </w:r>
      <w:r>
        <w:rPr>
          <w:rFonts w:hint="eastAsia" w:ascii="仿宋" w:hAnsi="仿宋" w:eastAsia="仿宋" w:cs="仿宋_GB2312"/>
          <w:sz w:val="28"/>
          <w:szCs w:val="28"/>
          <w:highlight w:val="none"/>
          <w:u w:val="single"/>
          <w:lang w:eastAsia="zh-CN"/>
        </w:rPr>
        <w:t>每个包</w:t>
      </w:r>
      <w:r>
        <w:rPr>
          <w:rFonts w:hint="eastAsia" w:ascii="仿宋" w:hAnsi="仿宋" w:eastAsia="仿宋" w:cs="仿宋_GB2312"/>
          <w:sz w:val="28"/>
          <w:szCs w:val="28"/>
          <w:highlight w:val="none"/>
          <w:u w:val="single"/>
        </w:rPr>
        <w:t>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lang w:val="en-US" w:eastAsia="zh-CN"/>
        </w:rPr>
        <w:t>1包</w:t>
      </w:r>
      <w:r>
        <w:rPr>
          <w:rFonts w:hint="eastAsia" w:ascii="仿宋" w:hAnsi="仿宋" w:eastAsia="仿宋"/>
          <w:b/>
          <w:sz w:val="28"/>
          <w:szCs w:val="28"/>
        </w:rPr>
        <w:t>报价单（TGJA-WZ-202</w:t>
      </w:r>
      <w:r>
        <w:rPr>
          <w:rFonts w:hint="eastAsia" w:ascii="仿宋" w:hAnsi="仿宋" w:eastAsia="仿宋"/>
          <w:b/>
          <w:sz w:val="28"/>
          <w:szCs w:val="28"/>
          <w:lang w:val="en-US" w:eastAsia="zh-CN"/>
        </w:rPr>
        <w:t>350</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玄武岩</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2900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p>
      <w:pPr>
        <w:spacing w:line="400" w:lineRule="exact"/>
        <w:jc w:val="both"/>
        <w:rPr>
          <w:rFonts w:hint="eastAsia" w:ascii="仿宋" w:hAnsi="仿宋" w:eastAsia="仿宋" w:cs="仿宋_GB2312"/>
          <w:b/>
          <w:sz w:val="36"/>
          <w:szCs w:val="36"/>
        </w:rPr>
      </w:pPr>
    </w:p>
    <w:p>
      <w:pPr>
        <w:spacing w:line="400" w:lineRule="exact"/>
        <w:jc w:val="both"/>
        <w:rPr>
          <w:rFonts w:hint="eastAsia" w:ascii="仿宋" w:hAnsi="仿宋" w:eastAsia="仿宋" w:cs="仿宋_GB2312"/>
          <w:b/>
          <w:sz w:val="36"/>
          <w:szCs w:val="36"/>
        </w:rPr>
      </w:pPr>
    </w:p>
    <w:p>
      <w:pPr>
        <w:spacing w:line="400" w:lineRule="exact"/>
        <w:rPr>
          <w:rFonts w:hint="eastAsia" w:ascii="仿宋" w:hAnsi="仿宋" w:eastAsia="仿宋"/>
          <w:b/>
          <w:sz w:val="28"/>
          <w:szCs w:val="28"/>
        </w:rPr>
      </w:pPr>
      <w:r>
        <w:rPr>
          <w:rFonts w:hint="eastAsia" w:ascii="仿宋" w:hAnsi="仿宋" w:eastAsia="仿宋"/>
          <w:b/>
          <w:sz w:val="28"/>
          <w:szCs w:val="28"/>
          <w:lang w:val="en-US" w:eastAsia="zh-CN"/>
        </w:rPr>
        <w:t>2包</w:t>
      </w:r>
      <w:r>
        <w:rPr>
          <w:rFonts w:hint="eastAsia" w:ascii="仿宋" w:hAnsi="仿宋" w:eastAsia="仿宋"/>
          <w:b/>
          <w:sz w:val="28"/>
          <w:szCs w:val="28"/>
        </w:rPr>
        <w:t>报价单（TGJA-WZ-202</w:t>
      </w:r>
      <w:r>
        <w:rPr>
          <w:rFonts w:hint="eastAsia" w:ascii="仿宋" w:hAnsi="仿宋" w:eastAsia="仿宋"/>
          <w:b/>
          <w:sz w:val="28"/>
          <w:szCs w:val="28"/>
          <w:lang w:val="en-US" w:eastAsia="zh-CN"/>
        </w:rPr>
        <w:t>350</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天然砂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2000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1B68910"/>
    <w:multiLevelType w:val="singleLevel"/>
    <w:tmpl w:val="C1B68910"/>
    <w:lvl w:ilvl="0" w:tentative="0">
      <w:start w:val="2"/>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43727C8"/>
    <w:rsid w:val="05011011"/>
    <w:rsid w:val="053E62C7"/>
    <w:rsid w:val="05BF33B5"/>
    <w:rsid w:val="061F198A"/>
    <w:rsid w:val="076B4827"/>
    <w:rsid w:val="08FD0B6A"/>
    <w:rsid w:val="095B20FD"/>
    <w:rsid w:val="09F87FE5"/>
    <w:rsid w:val="0B2B537E"/>
    <w:rsid w:val="0C6241B2"/>
    <w:rsid w:val="0CA911C7"/>
    <w:rsid w:val="0D2B4E23"/>
    <w:rsid w:val="0E2061B7"/>
    <w:rsid w:val="0E7D4A3D"/>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2037683E"/>
    <w:rsid w:val="20637B7A"/>
    <w:rsid w:val="21A61884"/>
    <w:rsid w:val="221D09FC"/>
    <w:rsid w:val="22F91AE6"/>
    <w:rsid w:val="25590EC9"/>
    <w:rsid w:val="257F4BF0"/>
    <w:rsid w:val="25A13254"/>
    <w:rsid w:val="262F357C"/>
    <w:rsid w:val="26A26CEB"/>
    <w:rsid w:val="27235E7D"/>
    <w:rsid w:val="276F4E38"/>
    <w:rsid w:val="27B557C7"/>
    <w:rsid w:val="2834446C"/>
    <w:rsid w:val="299D4A4C"/>
    <w:rsid w:val="2A1902C2"/>
    <w:rsid w:val="2B2B05A0"/>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652001"/>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33441F6"/>
    <w:rsid w:val="6352429E"/>
    <w:rsid w:val="63E45615"/>
    <w:rsid w:val="645A1DAF"/>
    <w:rsid w:val="64940258"/>
    <w:rsid w:val="64940A1E"/>
    <w:rsid w:val="69021DF3"/>
    <w:rsid w:val="69AD4D95"/>
    <w:rsid w:val="6A1720C7"/>
    <w:rsid w:val="6A315ABB"/>
    <w:rsid w:val="6A87598F"/>
    <w:rsid w:val="6D5E39EE"/>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537"/>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3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7"/>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129"/>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5"/>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qFormat/>
    <w:uiPriority w:val="0"/>
    <w:pPr>
      <w:spacing w:line="413" w:lineRule="auto"/>
    </w:pPr>
    <w:rPr>
      <w:rFonts w:ascii="Arial" w:hAnsi="Arial"/>
      <w:kern w:val="0"/>
      <w:sz w:val="24"/>
    </w:rPr>
  </w:style>
  <w:style w:type="paragraph" w:customStyle="1" w:styleId="5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qFormat/>
    <w:uiPriority w:val="0"/>
    <w:pPr>
      <w:widowControl/>
      <w:jc w:val="center"/>
    </w:pPr>
    <w:rPr>
      <w:rFonts w:hint="eastAsia" w:ascii="宋体"/>
      <w:b/>
      <w:kern w:val="0"/>
      <w:sz w:val="36"/>
      <w:szCs w:val="20"/>
    </w:rPr>
  </w:style>
  <w:style w:type="paragraph" w:customStyle="1" w:styleId="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qFormat/>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qFormat/>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qFormat/>
    <w:uiPriority w:val="0"/>
    <w:pPr>
      <w:jc w:val="center"/>
      <w:textAlignment w:val="center"/>
    </w:pPr>
    <w:rPr>
      <w:rFonts w:ascii="华文细黑" w:hAnsi="华文细黑"/>
      <w:kern w:val="0"/>
      <w:szCs w:val="20"/>
    </w:rPr>
  </w:style>
  <w:style w:type="paragraph" w:customStyle="1" w:styleId="66">
    <w:name w:val="XW正文"/>
    <w:basedOn w:val="21"/>
    <w:qFormat/>
    <w:uiPriority w:val="0"/>
    <w:pPr>
      <w:adjustRightInd w:val="0"/>
      <w:spacing w:after="0" w:line="300" w:lineRule="auto"/>
      <w:ind w:left="0" w:leftChars="0" w:firstLine="454"/>
      <w:textAlignment w:val="baseline"/>
    </w:pPr>
    <w:rPr>
      <w:szCs w:val="20"/>
    </w:rPr>
  </w:style>
  <w:style w:type="paragraph" w:customStyle="1" w:styleId="67">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样式1"/>
    <w:basedOn w:val="4"/>
    <w:qFormat/>
    <w:uiPriority w:val="0"/>
    <w:rPr>
      <w:rFonts w:eastAsia="Arial"/>
    </w:rPr>
  </w:style>
  <w:style w:type="paragraph" w:customStyle="1" w:styleId="7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qFormat/>
    <w:uiPriority w:val="0"/>
  </w:style>
  <w:style w:type="paragraph" w:customStyle="1" w:styleId="7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qFormat/>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qFormat/>
    <w:uiPriority w:val="0"/>
    <w:pPr>
      <w:numPr>
        <w:ilvl w:val="0"/>
        <w:numId w:val="1"/>
      </w:numPr>
      <w:tabs>
        <w:tab w:val="left" w:pos="1035"/>
        <w:tab w:val="left" w:pos="1134"/>
      </w:tabs>
      <w:ind w:left="1035" w:hanging="720"/>
      <w:jc w:val="left"/>
    </w:pPr>
  </w:style>
  <w:style w:type="paragraph" w:customStyle="1" w:styleId="8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qFormat/>
    <w:uiPriority w:val="0"/>
  </w:style>
  <w:style w:type="paragraph" w:customStyle="1" w:styleId="86">
    <w:name w:val="样式3"/>
    <w:basedOn w:val="4"/>
    <w:qFormat/>
    <w:uiPriority w:val="0"/>
    <w:rPr>
      <w:rFonts w:eastAsia="Arial"/>
    </w:rPr>
  </w:style>
  <w:style w:type="paragraph" w:customStyle="1" w:styleId="87">
    <w:name w:val="默认段落字体 Para Char Char Char Char"/>
    <w:basedOn w:val="1"/>
    <w:qFormat/>
    <w:uiPriority w:val="0"/>
  </w:style>
  <w:style w:type="paragraph" w:customStyle="1" w:styleId="88">
    <w:name w:val="A3"/>
    <w:basedOn w:val="77"/>
    <w:qFormat/>
    <w:uiPriority w:val="0"/>
    <w:rPr>
      <w:sz w:val="21"/>
    </w:rPr>
  </w:style>
  <w:style w:type="paragraph" w:customStyle="1" w:styleId="89">
    <w:name w:val="p0"/>
    <w:basedOn w:val="1"/>
    <w:qFormat/>
    <w:uiPriority w:val="0"/>
    <w:pPr>
      <w:widowControl/>
    </w:pPr>
    <w:rPr>
      <w:kern w:val="0"/>
      <w:szCs w:val="21"/>
    </w:rPr>
  </w:style>
  <w:style w:type="paragraph" w:customStyle="1" w:styleId="9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91">
    <w:name w:val="菲页(卷)"/>
    <w:basedOn w:val="2"/>
    <w:next w:val="9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qFormat/>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qFormat/>
    <w:uiPriority w:val="0"/>
  </w:style>
  <w:style w:type="paragraph" w:customStyle="1" w:styleId="97">
    <w:name w:val="表格文字"/>
    <w:basedOn w:val="1"/>
    <w:qFormat/>
    <w:uiPriority w:val="0"/>
    <w:pPr>
      <w:adjustRightInd w:val="0"/>
      <w:spacing w:line="420" w:lineRule="atLeast"/>
      <w:jc w:val="left"/>
      <w:textAlignment w:val="baseline"/>
    </w:pPr>
    <w:rPr>
      <w:kern w:val="0"/>
      <w:szCs w:val="20"/>
    </w:rPr>
  </w:style>
  <w:style w:type="paragraph" w:customStyle="1" w:styleId="98">
    <w:name w:val="Char4"/>
    <w:basedOn w:val="1"/>
    <w:qFormat/>
    <w:uiPriority w:val="0"/>
    <w:pPr>
      <w:spacing w:line="360" w:lineRule="auto"/>
      <w:ind w:firstLine="200" w:firstLineChars="200"/>
    </w:pPr>
    <w:rPr>
      <w:rFonts w:ascii="Arial" w:hAnsi="Arial" w:cs="Arial"/>
      <w:sz w:val="24"/>
    </w:rPr>
  </w:style>
  <w:style w:type="paragraph" w:customStyle="1" w:styleId="99">
    <w:name w:val="样式4"/>
    <w:basedOn w:val="4"/>
    <w:qFormat/>
    <w:uiPriority w:val="0"/>
    <w:rPr>
      <w:rFonts w:eastAsia="Arial"/>
    </w:rPr>
  </w:style>
  <w:style w:type="paragraph" w:customStyle="1" w:styleId="100">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qFormat/>
    <w:uiPriority w:val="0"/>
    <w:pPr>
      <w:tabs>
        <w:tab w:val="left" w:pos="360"/>
      </w:tabs>
    </w:pPr>
    <w:rPr>
      <w:sz w:val="24"/>
    </w:rPr>
  </w:style>
  <w:style w:type="paragraph" w:customStyle="1" w:styleId="103">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4">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qFormat/>
    <w:uiPriority w:val="0"/>
    <w:rPr>
      <w:rFonts w:ascii="Arial" w:hAnsi="Arial" w:eastAsia="黑体"/>
      <w:b/>
      <w:bCs/>
      <w:sz w:val="24"/>
      <w:szCs w:val="24"/>
      <w:lang w:val="en-US" w:eastAsia="zh-CN" w:bidi="ar-SA"/>
    </w:rPr>
  </w:style>
  <w:style w:type="character" w:customStyle="1" w:styleId="106">
    <w:name w:val="标题 2 Char"/>
    <w:link w:val="3"/>
    <w:qFormat/>
    <w:uiPriority w:val="0"/>
    <w:rPr>
      <w:rFonts w:ascii="Arial" w:hAnsi="Arial" w:eastAsia="黑体"/>
      <w:b/>
      <w:bCs/>
      <w:kern w:val="2"/>
      <w:sz w:val="32"/>
      <w:szCs w:val="32"/>
      <w:lang w:val="en-US" w:eastAsia="zh-CN" w:bidi="ar-SA"/>
    </w:rPr>
  </w:style>
  <w:style w:type="character" w:customStyle="1" w:styleId="107">
    <w:name w:val="批注文字 Char Char"/>
    <w:qFormat/>
    <w:uiPriority w:val="0"/>
    <w:rPr>
      <w:rFonts w:ascii="宋体" w:hAnsi="Times New Roman" w:eastAsia="宋体" w:cs="Times New Roman"/>
      <w:sz w:val="28"/>
      <w:szCs w:val="20"/>
    </w:rPr>
  </w:style>
  <w:style w:type="character" w:customStyle="1" w:styleId="108">
    <w:name w:val=" Char Char7"/>
    <w:qFormat/>
    <w:uiPriority w:val="0"/>
    <w:rPr>
      <w:rFonts w:ascii="Arial" w:hAnsi="Arial" w:eastAsia="黑体"/>
      <w:b/>
      <w:bCs/>
      <w:kern w:val="2"/>
      <w:sz w:val="32"/>
      <w:szCs w:val="32"/>
      <w:lang w:val="en-US" w:eastAsia="zh-CN" w:bidi="ar-SA"/>
    </w:rPr>
  </w:style>
  <w:style w:type="character" w:customStyle="1" w:styleId="109">
    <w:name w:val="标题5 Char Char"/>
    <w:link w:val="57"/>
    <w:qFormat/>
    <w:uiPriority w:val="0"/>
    <w:rPr>
      <w:rFonts w:ascii="Arial" w:hAnsi="Arial"/>
      <w:b/>
      <w:bCs/>
      <w:sz w:val="24"/>
      <w:szCs w:val="32"/>
      <w:lang w:bidi="ar-SA"/>
    </w:rPr>
  </w:style>
  <w:style w:type="character" w:customStyle="1" w:styleId="110">
    <w:name w:val="font161"/>
    <w:qFormat/>
    <w:uiPriority w:val="0"/>
    <w:rPr>
      <w:b/>
      <w:bCs/>
      <w:sz w:val="32"/>
      <w:szCs w:val="32"/>
    </w:rPr>
  </w:style>
  <w:style w:type="character" w:customStyle="1" w:styleId="111">
    <w:name w:val="标题4 Char Char"/>
    <w:link w:val="94"/>
    <w:qFormat/>
    <w:uiPriority w:val="0"/>
    <w:rPr>
      <w:rFonts w:ascii="Arial" w:hAnsi="Arial"/>
      <w:b/>
      <w:bCs/>
      <w:sz w:val="24"/>
      <w:szCs w:val="32"/>
      <w:lang w:bidi="ar-SA"/>
    </w:rPr>
  </w:style>
  <w:style w:type="character" w:customStyle="1" w:styleId="112">
    <w:name w:val="浅色底纹 - 强调文字颜色 2 Char"/>
    <w:link w:val="95"/>
    <w:qFormat/>
    <w:uiPriority w:val="0"/>
    <w:rPr>
      <w:b/>
      <w:bCs/>
      <w:i/>
      <w:iCs/>
      <w:color w:val="4F81BD"/>
      <w:kern w:val="2"/>
      <w:sz w:val="21"/>
      <w:szCs w:val="22"/>
      <w:lang w:bidi="ar-SA"/>
    </w:rPr>
  </w:style>
  <w:style w:type="character" w:customStyle="1" w:styleId="113">
    <w:name w:val=" Char Char2"/>
    <w:qFormat/>
    <w:uiPriority w:val="0"/>
    <w:rPr>
      <w:rFonts w:eastAsia="宋体"/>
      <w:kern w:val="2"/>
      <w:sz w:val="21"/>
      <w:szCs w:val="24"/>
      <w:lang w:val="en-US" w:eastAsia="zh-CN" w:bidi="ar-SA"/>
    </w:rPr>
  </w:style>
  <w:style w:type="character" w:customStyle="1" w:styleId="114">
    <w:name w:val="标题 7 Char"/>
    <w:link w:val="8"/>
    <w:qFormat/>
    <w:uiPriority w:val="0"/>
    <w:rPr>
      <w:rFonts w:eastAsia="宋体"/>
      <w:b/>
      <w:bCs/>
      <w:sz w:val="24"/>
      <w:szCs w:val="24"/>
      <w:lang w:val="en-US" w:eastAsia="zh-CN" w:bidi="ar-SA"/>
    </w:rPr>
  </w:style>
  <w:style w:type="character" w:customStyle="1" w:styleId="115">
    <w:name w:val=" Char Char17"/>
    <w:qFormat/>
    <w:uiPriority w:val="0"/>
    <w:rPr>
      <w:rFonts w:ascii="Cambria" w:hAnsi="Cambria" w:eastAsia="宋体" w:cs="Times New Roman"/>
      <w:b/>
      <w:bCs/>
      <w:kern w:val="2"/>
      <w:sz w:val="32"/>
      <w:szCs w:val="32"/>
    </w:rPr>
  </w:style>
  <w:style w:type="character" w:customStyle="1" w:styleId="116">
    <w:name w:val="正文文本 Char1"/>
    <w:qFormat/>
    <w:uiPriority w:val="0"/>
    <w:rPr>
      <w:kern w:val="2"/>
      <w:sz w:val="21"/>
      <w:szCs w:val="22"/>
    </w:rPr>
  </w:style>
  <w:style w:type="character" w:customStyle="1" w:styleId="117">
    <w:name w:val="标题 4 Char1"/>
    <w:link w:val="5"/>
    <w:qFormat/>
    <w:uiPriority w:val="0"/>
    <w:rPr>
      <w:rFonts w:ascii="Arial" w:hAnsi="Arial" w:eastAsia="黑体"/>
      <w:b/>
      <w:bCs/>
      <w:kern w:val="2"/>
      <w:sz w:val="28"/>
      <w:szCs w:val="28"/>
      <w:lang w:val="en-US" w:eastAsia="zh-CN" w:bidi="ar-SA"/>
    </w:rPr>
  </w:style>
  <w:style w:type="character" w:customStyle="1" w:styleId="118">
    <w:name w:val="标题 9 Char"/>
    <w:link w:val="10"/>
    <w:qFormat/>
    <w:uiPriority w:val="0"/>
    <w:rPr>
      <w:rFonts w:ascii="Arial" w:hAnsi="Arial" w:eastAsia="黑体"/>
      <w:sz w:val="21"/>
      <w:szCs w:val="21"/>
      <w:lang w:val="en-US" w:eastAsia="zh-CN" w:bidi="ar-SA"/>
    </w:rPr>
  </w:style>
  <w:style w:type="character" w:customStyle="1" w:styleId="119">
    <w:name w:val="标题 8 Char"/>
    <w:link w:val="9"/>
    <w:qFormat/>
    <w:uiPriority w:val="0"/>
    <w:rPr>
      <w:rFonts w:ascii="Arial" w:hAnsi="Arial" w:eastAsia="黑体"/>
      <w:sz w:val="24"/>
      <w:szCs w:val="24"/>
      <w:lang w:val="en-US" w:eastAsia="zh-CN" w:bidi="ar-SA"/>
    </w:rPr>
  </w:style>
  <w:style w:type="character" w:customStyle="1" w:styleId="120">
    <w:name w:val="标题 1 Char"/>
    <w:link w:val="2"/>
    <w:qFormat/>
    <w:uiPriority w:val="0"/>
    <w:rPr>
      <w:rFonts w:eastAsia="宋体"/>
      <w:b/>
      <w:bCs/>
      <w:kern w:val="44"/>
      <w:sz w:val="44"/>
      <w:szCs w:val="44"/>
      <w:lang w:val="en-US" w:eastAsia="zh-CN" w:bidi="ar-SA"/>
    </w:rPr>
  </w:style>
  <w:style w:type="character" w:customStyle="1" w:styleId="121">
    <w:name w:val="标题 3 Char"/>
    <w:link w:val="4"/>
    <w:qFormat/>
    <w:uiPriority w:val="0"/>
    <w:rPr>
      <w:rFonts w:eastAsia="宋体"/>
      <w:b/>
      <w:bCs/>
      <w:kern w:val="2"/>
      <w:sz w:val="32"/>
      <w:szCs w:val="32"/>
      <w:lang w:val="en-US" w:eastAsia="zh-CN" w:bidi="ar-SA"/>
    </w:rPr>
  </w:style>
  <w:style w:type="character" w:customStyle="1" w:styleId="122">
    <w:name w:val="批注主题 Char1"/>
    <w:qFormat/>
    <w:uiPriority w:val="0"/>
    <w:rPr>
      <w:b/>
      <w:bCs/>
      <w:kern w:val="2"/>
      <w:sz w:val="21"/>
      <w:szCs w:val="22"/>
    </w:rPr>
  </w:style>
  <w:style w:type="character" w:customStyle="1" w:styleId="123">
    <w:name w:val="标题 5 Char"/>
    <w:link w:val="6"/>
    <w:qFormat/>
    <w:uiPriority w:val="0"/>
    <w:rPr>
      <w:rFonts w:ascii="Calibri" w:hAnsi="Calibri" w:eastAsia="宋体"/>
      <w:b/>
      <w:bCs/>
      <w:kern w:val="2"/>
      <w:sz w:val="28"/>
      <w:szCs w:val="28"/>
      <w:lang w:val="en-US" w:eastAsia="zh-CN" w:bidi="ar-SA"/>
    </w:rPr>
  </w:style>
  <w:style w:type="character" w:customStyle="1" w:styleId="124">
    <w:name w:val="Para head"/>
    <w:qFormat/>
    <w:uiPriority w:val="0"/>
    <w:rPr>
      <w:rFonts w:ascii="Arial" w:hAnsi="Arial" w:eastAsia="Times New Roman"/>
      <w:sz w:val="20"/>
    </w:rPr>
  </w:style>
  <w:style w:type="character" w:customStyle="1" w:styleId="125">
    <w:name w:val=" Char Char18"/>
    <w:qFormat/>
    <w:uiPriority w:val="0"/>
    <w:rPr>
      <w:b/>
      <w:bCs/>
      <w:kern w:val="44"/>
      <w:sz w:val="44"/>
      <w:szCs w:val="44"/>
    </w:rPr>
  </w:style>
  <w:style w:type="character" w:customStyle="1" w:styleId="126">
    <w:name w:val="_Style 125"/>
    <w:qFormat/>
    <w:uiPriority w:val="0"/>
    <w:rPr>
      <w:b/>
      <w:bCs/>
      <w:smallCaps/>
      <w:spacing w:val="5"/>
    </w:rPr>
  </w:style>
  <w:style w:type="character" w:customStyle="1" w:styleId="127">
    <w:name w:val="正文缩进 Char"/>
    <w:link w:val="14"/>
    <w:qFormat/>
    <w:uiPriority w:val="0"/>
    <w:rPr>
      <w:rFonts w:eastAsia="宋体"/>
      <w:kern w:val="2"/>
      <w:sz w:val="21"/>
      <w:szCs w:val="24"/>
      <w:lang w:val="en-US" w:eastAsia="zh-CN" w:bidi="ar-SA"/>
    </w:rPr>
  </w:style>
  <w:style w:type="character" w:customStyle="1" w:styleId="128">
    <w:name w:val="文档结构图 Char1"/>
    <w:qFormat/>
    <w:uiPriority w:val="0"/>
    <w:rPr>
      <w:rFonts w:ascii="宋体"/>
      <w:kern w:val="2"/>
      <w:sz w:val="18"/>
      <w:szCs w:val="18"/>
    </w:rPr>
  </w:style>
  <w:style w:type="character" w:customStyle="1" w:styleId="129">
    <w:name w:val="文档结构图 Char"/>
    <w:link w:val="17"/>
    <w:qFormat/>
    <w:uiPriority w:val="0"/>
    <w:rPr>
      <w:rFonts w:eastAsia="宋体"/>
      <w:kern w:val="2"/>
      <w:sz w:val="21"/>
      <w:szCs w:val="24"/>
      <w:lang w:val="en-US" w:eastAsia="zh-CN" w:bidi="ar-SA"/>
    </w:rPr>
  </w:style>
  <w:style w:type="character" w:customStyle="1" w:styleId="130">
    <w:name w:val=" Char Char"/>
    <w:qFormat/>
    <w:uiPriority w:val="0"/>
    <w:rPr>
      <w:rFonts w:ascii="Arial" w:hAnsi="Arial" w:eastAsia="黑体"/>
      <w:b/>
      <w:bCs/>
      <w:kern w:val="2"/>
      <w:sz w:val="32"/>
      <w:szCs w:val="32"/>
      <w:lang w:val="en-US" w:eastAsia="zh-CN" w:bidi="ar-SA"/>
    </w:rPr>
  </w:style>
  <w:style w:type="character" w:customStyle="1" w:styleId="131">
    <w:name w:val="批注文字 Char"/>
    <w:link w:val="12"/>
    <w:qFormat/>
    <w:uiPriority w:val="0"/>
    <w:rPr>
      <w:rFonts w:eastAsia="宋体"/>
      <w:kern w:val="2"/>
      <w:sz w:val="21"/>
      <w:szCs w:val="24"/>
      <w:lang w:val="en-US" w:eastAsia="zh-CN" w:bidi="ar-SA"/>
    </w:rPr>
  </w:style>
  <w:style w:type="character" w:customStyle="1" w:styleId="132">
    <w:name w:val="4号宋体左齐行距1.5倍 Char"/>
    <w:qFormat/>
    <w:uiPriority w:val="0"/>
    <w:rPr>
      <w:rFonts w:eastAsia="宋体"/>
      <w:b/>
      <w:sz w:val="32"/>
      <w:lang w:val="en-US" w:eastAsia="zh-CN" w:bidi="ar-SA"/>
    </w:rPr>
  </w:style>
  <w:style w:type="character" w:customStyle="1" w:styleId="133">
    <w:name w:val="正文文本 Char"/>
    <w:link w:val="19"/>
    <w:qFormat/>
    <w:uiPriority w:val="0"/>
    <w:rPr>
      <w:rFonts w:eastAsia="宋体"/>
      <w:kern w:val="2"/>
      <w:sz w:val="21"/>
      <w:szCs w:val="24"/>
      <w:lang w:val="en-US" w:eastAsia="zh-CN" w:bidi="ar-SA"/>
    </w:rPr>
  </w:style>
  <w:style w:type="character" w:customStyle="1" w:styleId="134">
    <w:name w:val="彩色网格 - 强调文字颜色 1 Char"/>
    <w:link w:val="93"/>
    <w:qFormat/>
    <w:uiPriority w:val="0"/>
    <w:rPr>
      <w:i/>
      <w:iCs/>
      <w:color w:val="000000"/>
      <w:kern w:val="2"/>
      <w:sz w:val="21"/>
      <w:szCs w:val="22"/>
      <w:lang w:bidi="ar-SA"/>
    </w:rPr>
  </w:style>
  <w:style w:type="character" w:customStyle="1" w:styleId="135">
    <w:name w:val="纯文本 Char"/>
    <w:link w:val="26"/>
    <w:qFormat/>
    <w:uiPriority w:val="0"/>
    <w:rPr>
      <w:rFonts w:ascii="Courier New" w:hAnsi="Courier New" w:eastAsia="宋体"/>
      <w:kern w:val="2"/>
      <w:sz w:val="21"/>
      <w:lang w:val="en-US" w:eastAsia="zh-CN" w:bidi="ar-SA"/>
    </w:rPr>
  </w:style>
  <w:style w:type="character" w:customStyle="1" w:styleId="136">
    <w:name w:val="页眉 Char"/>
    <w:link w:val="32"/>
    <w:qFormat/>
    <w:uiPriority w:val="0"/>
    <w:rPr>
      <w:rFonts w:eastAsia="宋体"/>
      <w:kern w:val="2"/>
      <w:sz w:val="18"/>
      <w:szCs w:val="18"/>
      <w:lang w:val="en-US" w:eastAsia="zh-CN" w:bidi="ar-SA"/>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_Style 137"/>
    <w:qFormat/>
    <w:uiPriority w:val="0"/>
    <w:rPr>
      <w:smallCaps/>
      <w:color w:val="C0504D"/>
      <w:u w:val="single"/>
    </w:rPr>
  </w:style>
  <w:style w:type="character" w:customStyle="1" w:styleId="139">
    <w:name w:val="日期 Char1"/>
    <w:qFormat/>
    <w:uiPriority w:val="0"/>
    <w:rPr>
      <w:kern w:val="2"/>
      <w:sz w:val="21"/>
      <w:szCs w:val="22"/>
    </w:rPr>
  </w:style>
  <w:style w:type="character" w:customStyle="1" w:styleId="140">
    <w:name w:val=" Char Char9"/>
    <w:qFormat/>
    <w:uiPriority w:val="0"/>
    <w:rPr>
      <w:kern w:val="2"/>
      <w:sz w:val="21"/>
      <w:szCs w:val="22"/>
    </w:rPr>
  </w:style>
  <w:style w:type="character" w:customStyle="1" w:styleId="141">
    <w:name w:val="标题 4 Char"/>
    <w:qFormat/>
    <w:uiPriority w:val="0"/>
    <w:rPr>
      <w:rFonts w:eastAsia="宋体"/>
      <w:sz w:val="21"/>
      <w:lang w:val="en-US" w:eastAsia="zh-CN" w:bidi="ar-SA"/>
    </w:rPr>
  </w:style>
  <w:style w:type="character" w:customStyle="1" w:styleId="142">
    <w:name w:val="_Style 141"/>
    <w:qFormat/>
    <w:uiPriority w:val="0"/>
    <w:rPr>
      <w:b/>
      <w:bCs/>
      <w:i/>
      <w:iCs/>
      <w:color w:val="4F81BD"/>
    </w:rPr>
  </w:style>
  <w:style w:type="character" w:customStyle="1" w:styleId="143">
    <w:name w:val="apple-converted-space"/>
    <w:qFormat/>
    <w:uiPriority w:val="0"/>
  </w:style>
  <w:style w:type="character" w:customStyle="1" w:styleId="144">
    <w:name w:val="批注框文本 Char1"/>
    <w:qFormat/>
    <w:uiPriority w:val="0"/>
    <w:rPr>
      <w:kern w:val="2"/>
      <w:sz w:val="18"/>
      <w:szCs w:val="18"/>
    </w:rPr>
  </w:style>
  <w:style w:type="character" w:customStyle="1" w:styleId="145">
    <w:name w:val="ask-title"/>
    <w:qFormat/>
    <w:uiPriority w:val="0"/>
  </w:style>
  <w:style w:type="character" w:customStyle="1" w:styleId="146">
    <w:name w:val="页眉 Char Char"/>
    <w:qFormat/>
    <w:uiPriority w:val="0"/>
    <w:rPr>
      <w:rFonts w:eastAsia="宋体"/>
      <w:kern w:val="2"/>
      <w:sz w:val="18"/>
      <w:szCs w:val="18"/>
      <w:lang w:val="en-US" w:eastAsia="zh-CN" w:bidi="ar-SA"/>
    </w:rPr>
  </w:style>
  <w:style w:type="character" w:customStyle="1" w:styleId="147">
    <w:name w:val="_Style 146"/>
    <w:qFormat/>
    <w:uiPriority w:val="0"/>
    <w:rPr>
      <w:b/>
      <w:bCs/>
      <w:smallCaps/>
      <w:color w:val="C0504D"/>
      <w:spacing w:val="5"/>
      <w:u w:val="single"/>
    </w:rPr>
  </w:style>
  <w:style w:type="character" w:customStyle="1" w:styleId="148">
    <w:name w:val="font11"/>
    <w:qFormat/>
    <w:uiPriority w:val="0"/>
    <w:rPr>
      <w:rFonts w:hint="eastAsia" w:ascii="宋体" w:hAnsi="宋体" w:eastAsia="宋体" w:cs="宋体"/>
      <w:color w:val="000000"/>
      <w:sz w:val="20"/>
      <w:szCs w:val="20"/>
      <w:u w:val="none"/>
    </w:rPr>
  </w:style>
  <w:style w:type="character" w:customStyle="1" w:styleId="149">
    <w:name w:val=" Char Char19"/>
    <w:qFormat/>
    <w:uiPriority w:val="0"/>
    <w:rPr>
      <w:rFonts w:ascii="黑体" w:hAnsi="宋体" w:eastAsia="黑体"/>
      <w:sz w:val="52"/>
      <w:lang w:val="en-US" w:eastAsia="zh-CN" w:bidi="ar-SA"/>
    </w:rPr>
  </w:style>
  <w:style w:type="character" w:customStyle="1" w:styleId="150">
    <w:name w:val="_Style 149"/>
    <w:qFormat/>
    <w:uiPriority w:val="0"/>
    <w:rPr>
      <w:i/>
      <w:iCs/>
      <w:color w:val="808080"/>
    </w:rPr>
  </w:style>
  <w:style w:type="character" w:customStyle="1" w:styleId="151">
    <w:name w:val="textcontents"/>
    <w:qFormat/>
    <w:uiPriority w:val="0"/>
    <w:rPr>
      <w:rFonts w:cs="Times New Roman"/>
    </w:rPr>
  </w:style>
  <w:style w:type="character" w:customStyle="1" w:styleId="152">
    <w:name w:val="页脚 Char Char"/>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2023-03-30T09:41:01Z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