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铜冠建安公司</w:t>
      </w:r>
    </w:p>
    <w:p>
      <w:pPr>
        <w:spacing w:line="56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仿宋" w:hAnsi="仿宋" w:eastAsia="仿宋" w:cs="宋体"/>
          <w:b/>
          <w:bCs/>
          <w:kern w:val="1"/>
          <w:sz w:val="44"/>
          <w:szCs w:val="44"/>
          <w:u w:val="single"/>
          <w:lang w:val="en-US" w:eastAsia="zh-CN"/>
        </w:rPr>
        <w:t>第一事业部池州铜箔三期矿渣</w:t>
      </w:r>
    </w:p>
    <w:p>
      <w:pPr>
        <w:tabs>
          <w:tab w:val="left" w:pos="7020"/>
        </w:tabs>
        <w:jc w:val="center"/>
        <w:rPr>
          <w:rFonts w:hint="eastAsia" w:ascii="仿宋" w:hAnsi="仿宋" w:eastAsia="仿宋"/>
          <w:b/>
          <w:sz w:val="72"/>
          <w:szCs w:val="72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default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328</w:t>
      </w: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color w:val="auto"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联 系 人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叶明陵（13865621916）、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eastAsia="zh-CN"/>
        </w:rPr>
        <w:t>任凡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招标公告发布日期：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3、投标文件递交地点：铜陵有色金属集团铜冠建筑安装股份有限公司审计监察室（黄山大道南段879号四楼）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  <w:bookmarkStart w:id="0" w:name="_GoBack"/>
      <w:bookmarkEnd w:id="0"/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：本次招标详见报价单。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办公室）也可通过网络形式报名，将相关资料通过网络发给报名联系人。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：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</w:rPr>
        <w:t>叶明陵（13865621916）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、任凡（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val="en-US" w:eastAsia="zh-CN"/>
        </w:rPr>
        <w:t>15656263008</w:t>
      </w:r>
      <w:r>
        <w:rPr>
          <w:rFonts w:hint="eastAsia" w:ascii="仿宋" w:hAnsi="仿宋" w:eastAsia="仿宋" w:cs="仿宋_GB2312"/>
          <w:bCs/>
          <w:sz w:val="32"/>
          <w:szCs w:val="32"/>
          <w:u w:val="single"/>
          <w:lang w:eastAsia="zh-CN"/>
        </w:rPr>
        <w:t>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六、保证金</w:t>
      </w: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1、为严肃和规范投标行为，确保投标的顺利以及中标后合同的有效执行，投标人须向招标人缴纳投标保证金，本次需缴纳投标保</w:t>
      </w:r>
      <w:r>
        <w:rPr>
          <w:rFonts w:hint="eastAsia" w:ascii="仿宋" w:hAnsi="仿宋" w:eastAsia="仿宋" w:cs="仿宋_GB2312"/>
          <w:color w:val="000000"/>
          <w:sz w:val="28"/>
          <w:szCs w:val="28"/>
        </w:rPr>
        <w:t>证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金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  <w:lang w:eastAsia="zh-CN"/>
        </w:rPr>
        <w:t>贰</w:t>
      </w:r>
      <w:r>
        <w:rPr>
          <w:rFonts w:hint="eastAsia" w:ascii="仿宋" w:hAnsi="仿宋" w:eastAsia="仿宋" w:cs="仿宋_GB2312"/>
          <w:b/>
          <w:bCs/>
          <w:color w:val="000000"/>
          <w:sz w:val="28"/>
          <w:szCs w:val="28"/>
          <w:highlight w:val="none"/>
          <w:u w:val="single"/>
        </w:rPr>
        <w:t>万元整</w:t>
      </w:r>
      <w:r>
        <w:rPr>
          <w:rFonts w:hint="eastAsia" w:ascii="仿宋" w:hAnsi="仿宋" w:eastAsia="仿宋" w:cs="仿宋_GB2312"/>
          <w:color w:val="000000"/>
          <w:sz w:val="28"/>
          <w:szCs w:val="28"/>
          <w:highlight w:val="none"/>
        </w:rPr>
        <w:t>；</w:t>
      </w:r>
      <w:r>
        <w:rPr>
          <w:rFonts w:hint="eastAsia" w:ascii="仿宋" w:hAnsi="仿宋" w:eastAsia="仿宋" w:cs="仿宋_GB2312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投标文件内附汇款凭证复印件。如投标人在铜冠建安公司（含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各分子公司）有超过投标保证金数额的应收欠款，可以出具承诺书的方式将足额应收欠款转为投标保证金，承诺书作为投标资料的一部分，并附铜冠建安公司（含各分子公司）财务出具的加盖财务专用章的应收欠款证明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无投标保证金或未出具投标保证金承诺书视为无效投标。</w:t>
      </w:r>
      <w:r>
        <w:rPr>
          <w:rFonts w:hint="eastAsia" w:ascii="仿宋" w:hAnsi="仿宋" w:eastAsia="仿宋" w:cs="仿宋_GB2312"/>
          <w:sz w:val="28"/>
          <w:szCs w:val="28"/>
        </w:rPr>
        <w:t>投标保证金须对公账户转账，不接受个人账户转账，同时要求注明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eastAsia="zh-CN"/>
        </w:rPr>
        <w:t>第一事业部池州铜箔三期矿渣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TGJA-WZ-202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  <w:lang w:val="en-US" w:eastAsia="zh-CN"/>
        </w:rPr>
        <w:t>328</w:t>
      </w:r>
      <w:r>
        <w:rPr>
          <w:rFonts w:hint="eastAsia" w:ascii="仿宋" w:hAnsi="仿宋" w:eastAsia="仿宋" w:cs="仿宋_GB2312"/>
          <w:b/>
          <w:bCs/>
          <w:sz w:val="28"/>
          <w:szCs w:val="28"/>
          <w:u w:val="single"/>
        </w:rPr>
        <w:t>投标保证金</w:t>
      </w:r>
    </w:p>
    <w:p>
      <w:pPr>
        <w:spacing w:line="560" w:lineRule="exact"/>
        <w:ind w:firstLine="562" w:firstLineChars="200"/>
        <w:jc w:val="left"/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 xml:space="preserve">2、下列任何情况发生时，投标保证金将被不予退还：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（1）投标人在投标截止后至投标有效期内撤回投标文件的； 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（2）中标人未能在规定期限内按照招标文件签订合同协议；</w:t>
      </w:r>
    </w:p>
    <w:p>
      <w:pPr>
        <w:spacing w:line="560" w:lineRule="exact"/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（3）签署合同后，未能在规定的时间内提供履约保证金；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（4）投标人在招标中存在违规和违法行为的。</w:t>
      </w:r>
    </w:p>
    <w:p>
      <w:p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（5）中标人因自身原因放弃中标资格的。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3、在签订合同前，中标人须交纳履约保证金。履约保证金金额为中标合同总金额的 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10% </w:t>
      </w:r>
      <w:r>
        <w:rPr>
          <w:rFonts w:hint="eastAsia" w:ascii="仿宋" w:hAnsi="仿宋" w:eastAsia="仿宋" w:cs="仿宋_GB2312"/>
          <w:sz w:val="28"/>
          <w:szCs w:val="28"/>
        </w:rPr>
        <w:t>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如中标人在铜冠建安公司（含各分子公司）有超过履约保证金数额的应收欠款，可以出具承诺书的方式承诺将足额欠款转为履约保证金，并附铜冠建安公司（含各分子公司）财务出具加盖财务专用章的应收欠款证明。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或以货款抵扣。</w:t>
      </w:r>
      <w:r>
        <w:rPr>
          <w:rFonts w:hint="eastAsia" w:ascii="仿宋" w:hAnsi="仿宋" w:eastAsia="仿宋" w:cs="仿宋_GB2312"/>
          <w:sz w:val="28"/>
          <w:szCs w:val="28"/>
        </w:rPr>
        <w:t>）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4、招标人与中标人签订合同后</w:t>
      </w:r>
      <w:r>
        <w:rPr>
          <w:rFonts w:hint="eastAsia" w:ascii="仿宋" w:hAnsi="仿宋" w:eastAsia="仿宋" w:cs="仿宋_GB2312"/>
          <w:b/>
          <w:bCs/>
          <w:color w:val="C00000"/>
          <w:sz w:val="28"/>
          <w:szCs w:val="28"/>
        </w:rPr>
        <w:t>7</w:t>
      </w:r>
      <w:r>
        <w:rPr>
          <w:rFonts w:hint="eastAsia" w:ascii="仿宋" w:hAnsi="仿宋" w:eastAsia="仿宋" w:cs="仿宋_GB2312"/>
          <w:sz w:val="28"/>
          <w:szCs w:val="28"/>
        </w:rPr>
        <w:t>日内，向未中标的投标人退还投标保证金（无息），中标人在签订合同并交纳履约保证金后退还投标保证金（无息）。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5、公司对公账户信息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账户名称：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铜陵有色金属集团铜冠建筑安装股份有限公司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账    号：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1308024009200056147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开 户 行：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工行铜陵铜都支行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投标文件递交的截止时间：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2023年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16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:00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2、投标文件递交地点：铜陵有色金属集团铜冠建筑安装股份有限公司经营部（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黄山大道南段879号四楼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）</w:t>
      </w: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eastAsia="zh-CN"/>
        </w:rPr>
        <w:t>黄赟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18656211500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建筑用卵石、碎石</w:t>
      </w:r>
      <w:r>
        <w:rPr>
          <w:rFonts w:hint="eastAsia" w:ascii="仿宋" w:hAnsi="仿宋" w:eastAsia="仿宋" w:cs="仿宋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GB/T14685-20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  <w:lang w:val="en-US" w:eastAsia="zh-CN"/>
        </w:rPr>
        <w:t>22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以招标人抽样检验为准，所供材料如未达到技术指标要求，中标人应立即停供。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（3）若达不到招标人要求的，中标人无条件将该车货物拉回且不计货款，动用招标人机械装货收取</w:t>
      </w:r>
      <w:r>
        <w:rPr>
          <w:rFonts w:hint="eastAsia" w:ascii="仿宋" w:hAnsi="仿宋" w:eastAsia="仿宋" w:cs="仿宋_GB2312"/>
          <w:b/>
          <w:bCs/>
          <w:color w:val="FF0000"/>
          <w:sz w:val="28"/>
          <w:szCs w:val="28"/>
          <w:u w:val="single"/>
        </w:rPr>
        <w:t>500</w:t>
      </w:r>
      <w:r>
        <w:rPr>
          <w:rFonts w:hint="eastAsia" w:ascii="仿宋" w:hAnsi="仿宋" w:eastAsia="仿宋" w:cs="仿宋_GB2312"/>
          <w:sz w:val="28"/>
          <w:szCs w:val="28"/>
        </w:rPr>
        <w:t>元/车装车费。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因材料产品质量不合格所造成的相关质量问题，没收中标人履约保证金，同时对相关质量问题所引发的返工、耽误工期、对业主单位的生产影响等所有相关损失，中标人承担相应责任。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u w:val="single"/>
          <w14:textFill>
            <w14:solidFill>
              <w14:schemeClr w14:val="tx1"/>
            </w14:solidFill>
          </w14:textFill>
        </w:rPr>
        <w:t>根据到货情况，货到验收合格后开具发票，入账次月支付50%，春节前支付至80%，剩余20%该春节后两年内付清。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货款以对公转账方式支付至供方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对公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账户，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支付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电汇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eastAsia="zh-CN"/>
        </w:rPr>
        <w:t>或不超过合同总金额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>50%的6个月内银行电子承兑</w:t>
      </w:r>
      <w:r>
        <w:rPr>
          <w:rFonts w:hint="eastAsia" w:ascii="仿宋" w:hAnsi="仿宋" w:eastAsia="仿宋" w:cs="仿宋"/>
          <w:i w:val="0"/>
          <w:iCs w:val="0"/>
          <w:caps w:val="0"/>
          <w:color w:val="171A1D"/>
          <w:spacing w:val="0"/>
          <w:sz w:val="28"/>
          <w:szCs w:val="28"/>
          <w:highlight w:val="none"/>
          <w:u w:val="single"/>
          <w:shd w:val="clear" w:color="auto" w:fill="FFFFFF"/>
        </w:rPr>
        <w:t>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一票制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价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格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材料送至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一事业部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池州铜箔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三期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施工现场。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招标人按送货磅单验收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需方有权进行抽磅，抽磅后实际重量与磅单重量误差小于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1%的予以接受。误差大于1%的，需方将按实际重量结算，同时对未过磅车次的材料重量按比例扣除，并对供方进行5000元的罚款，（该款项直接由公司财务在欠款中扣除）供方还将承担相应的过磅费用。</w:t>
      </w:r>
      <w:r>
        <w:rPr>
          <w:rFonts w:ascii="仿宋" w:hAnsi="仿宋" w:eastAsia="仿宋" w:cs="仿宋_GB2312"/>
          <w:sz w:val="28"/>
          <w:szCs w:val="28"/>
          <w:u w:val="single"/>
        </w:rPr>
        <w:t xml:space="preserve"> 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九</w:t>
      </w:r>
      <w:r>
        <w:rPr>
          <w:rFonts w:hint="eastAsia" w:ascii="仿宋" w:hAnsi="仿宋" w:eastAsia="仿宋" w:cs="仿宋_GB2312"/>
          <w:b/>
          <w:sz w:val="36"/>
          <w:szCs w:val="36"/>
        </w:rPr>
        <w:t>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6、招标人和中标人应当自中标通知书发出之日起七日内，按照招标文件和中标人的投标文件订立书面合同，招标人和中标人不得再行订立背离本次招标实质性内容的其他协议。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</w:rPr>
        <w:t>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="156" w:beforeLines="50" w:after="156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="156" w:beforeLines="50" w:after="156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="156" w:beforeLines="50" w:after="156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560" w:lineRule="exact"/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十二、投标廉洁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我单位于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2"/>
        </w:numPr>
        <w:spacing w:line="560" w:lineRule="exact"/>
        <w:ind w:firstLine="560" w:firstLineChars="200"/>
        <w:jc w:val="left"/>
        <w:rPr>
          <w:rFonts w:hint="eastAsia" w:ascii="仿宋" w:hAnsi="仿宋" w:eastAsia="仿宋" w:cs="仿宋_GB2312"/>
          <w:color w:val="000000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 xml:space="preserve">承诺方签字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:</w:t>
      </w:r>
    </w:p>
    <w:p>
      <w:pPr>
        <w:spacing w:line="560" w:lineRule="exact"/>
        <w:ind w:firstLine="5418" w:firstLineChars="21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pacing w:val="-11"/>
          <w:sz w:val="28"/>
          <w:szCs w:val="28"/>
        </w:rPr>
        <w:t>单 位 盖 章</w:t>
      </w:r>
      <w:r>
        <w:rPr>
          <w:rFonts w:hint="eastAsia" w:ascii="仿宋" w:hAnsi="仿宋" w:eastAsia="仿宋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                       </w:t>
      </w:r>
      <w:r>
        <w:rPr>
          <w:rFonts w:hint="eastAsia" w:ascii="仿宋" w:hAnsi="仿宋" w:eastAsia="仿宋" w:cs="仿宋_GB2312"/>
          <w:spacing w:val="-11"/>
          <w:sz w:val="28"/>
          <w:szCs w:val="28"/>
        </w:rPr>
        <w:t>日       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numPr>
          <w:ilvl w:val="0"/>
          <w:numId w:val="3"/>
        </w:numPr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报价单</w:t>
      </w:r>
    </w:p>
    <w:p>
      <w:pPr>
        <w:numPr>
          <w:ilvl w:val="0"/>
          <w:numId w:val="0"/>
        </w:num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328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</w:t>
      </w:r>
    </w:p>
    <w:tbl>
      <w:tblPr>
        <w:tblStyle w:val="53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矿渣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10mm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—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400mm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sz w:val="24"/>
              </w:rPr>
              <w:t>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GB/T14685-20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 w:cs="宋体"/>
                <w:kern w:val="0"/>
                <w:sz w:val="24"/>
              </w:rPr>
              <w:t>，分批供货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0"/>
      <w:jc w:val="center"/>
    </w:pPr>
  </w:p>
  <w:p>
    <w:pPr>
      <w:pStyle w:val="3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1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1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7F0BCA3"/>
    <w:multiLevelType w:val="singleLevel"/>
    <w:tmpl w:val="07F0BCA3"/>
    <w:lvl w:ilvl="0" w:tentative="0">
      <w:start w:val="1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2AC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B777A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086E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44EC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08CA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2C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D7798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2987B74"/>
    <w:rsid w:val="048A48C3"/>
    <w:rsid w:val="05BF33B5"/>
    <w:rsid w:val="06BD259D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1227EB"/>
    <w:rsid w:val="11A13D65"/>
    <w:rsid w:val="12A820AD"/>
    <w:rsid w:val="148531F5"/>
    <w:rsid w:val="17D86D23"/>
    <w:rsid w:val="17DA7656"/>
    <w:rsid w:val="18AF15FD"/>
    <w:rsid w:val="1A943009"/>
    <w:rsid w:val="1B33713D"/>
    <w:rsid w:val="1B59783C"/>
    <w:rsid w:val="1BBF797C"/>
    <w:rsid w:val="1D7077D1"/>
    <w:rsid w:val="1DE32FF0"/>
    <w:rsid w:val="1DEE2CCA"/>
    <w:rsid w:val="2037683E"/>
    <w:rsid w:val="223E7710"/>
    <w:rsid w:val="23983135"/>
    <w:rsid w:val="23E90160"/>
    <w:rsid w:val="241B3A72"/>
    <w:rsid w:val="25590EC9"/>
    <w:rsid w:val="26224809"/>
    <w:rsid w:val="26266C10"/>
    <w:rsid w:val="26893688"/>
    <w:rsid w:val="26A26CEB"/>
    <w:rsid w:val="285E7005"/>
    <w:rsid w:val="299B5E0E"/>
    <w:rsid w:val="299D4A4C"/>
    <w:rsid w:val="2A1902C2"/>
    <w:rsid w:val="2A3653AE"/>
    <w:rsid w:val="2AB020F1"/>
    <w:rsid w:val="2AE16175"/>
    <w:rsid w:val="2BB548BC"/>
    <w:rsid w:val="2BE80223"/>
    <w:rsid w:val="2C995D0F"/>
    <w:rsid w:val="2CCF45EF"/>
    <w:rsid w:val="2D3E7816"/>
    <w:rsid w:val="2E8E540F"/>
    <w:rsid w:val="302E3043"/>
    <w:rsid w:val="30D974B7"/>
    <w:rsid w:val="318909C6"/>
    <w:rsid w:val="328208F3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B8F43A2"/>
    <w:rsid w:val="3C5B75D3"/>
    <w:rsid w:val="3C7823C8"/>
    <w:rsid w:val="3DBC2399"/>
    <w:rsid w:val="3DCC4487"/>
    <w:rsid w:val="3E474521"/>
    <w:rsid w:val="3EB10A10"/>
    <w:rsid w:val="3EC82979"/>
    <w:rsid w:val="419E2F43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2A4BA3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BEB236E"/>
    <w:rsid w:val="5C1E1084"/>
    <w:rsid w:val="5EE01EF7"/>
    <w:rsid w:val="60F035C2"/>
    <w:rsid w:val="63E45615"/>
    <w:rsid w:val="643C50FF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A92A4C"/>
    <w:rsid w:val="71F33817"/>
    <w:rsid w:val="74424C37"/>
    <w:rsid w:val="74B57A97"/>
    <w:rsid w:val="754010B5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5">
    <w:name w:val="Default Paragraph Font"/>
    <w:semiHidden/>
    <w:unhideWhenUsed/>
    <w:qFormat/>
    <w:uiPriority w:val="1"/>
  </w:style>
  <w:style w:type="table" w:default="1" w:styleId="5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qFormat/>
    <w:uiPriority w:val="0"/>
    <w:rPr>
      <w:b/>
      <w:bCs/>
    </w:rPr>
  </w:style>
  <w:style w:type="paragraph" w:styleId="12">
    <w:name w:val="annotation text"/>
    <w:basedOn w:val="1"/>
    <w:link w:val="70"/>
    <w:qFormat/>
    <w:uiPriority w:val="0"/>
    <w:pPr>
      <w:jc w:val="left"/>
    </w:pPr>
  </w:style>
  <w:style w:type="paragraph" w:styleId="13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4">
    <w:name w:val="Normal Indent"/>
    <w:basedOn w:val="1"/>
    <w:link w:val="90"/>
    <w:qFormat/>
    <w:uiPriority w:val="0"/>
    <w:pPr>
      <w:ind w:firstLine="420" w:firstLineChars="200"/>
    </w:pPr>
  </w:style>
  <w:style w:type="paragraph" w:styleId="15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6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7">
    <w:name w:val="Document Map"/>
    <w:basedOn w:val="1"/>
    <w:link w:val="75"/>
    <w:qFormat/>
    <w:uiPriority w:val="0"/>
    <w:pPr>
      <w:shd w:val="clear" w:color="auto" w:fill="000080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1"/>
    <w:link w:val="89"/>
    <w:qFormat/>
    <w:uiPriority w:val="0"/>
    <w:pPr>
      <w:spacing w:after="120"/>
    </w:pPr>
  </w:style>
  <w:style w:type="paragraph" w:styleId="20">
    <w:name w:val="Body Text Indent"/>
    <w:basedOn w:val="1"/>
    <w:qFormat/>
    <w:uiPriority w:val="0"/>
    <w:pPr>
      <w:spacing w:after="120"/>
      <w:ind w:left="420" w:leftChars="200"/>
    </w:pPr>
  </w:style>
  <w:style w:type="paragraph" w:styleId="21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2">
    <w:name w:val="index 4"/>
    <w:basedOn w:val="1"/>
    <w:next w:val="1"/>
    <w:qFormat/>
    <w:uiPriority w:val="0"/>
    <w:pPr>
      <w:ind w:left="600" w:leftChars="600"/>
    </w:pPr>
  </w:style>
  <w:style w:type="paragraph" w:styleId="23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4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5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6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7">
    <w:name w:val="Date"/>
    <w:basedOn w:val="1"/>
    <w:next w:val="1"/>
    <w:qFormat/>
    <w:uiPriority w:val="0"/>
    <w:rPr>
      <w:sz w:val="24"/>
      <w:szCs w:val="20"/>
    </w:rPr>
  </w:style>
  <w:style w:type="paragraph" w:styleId="28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9">
    <w:name w:val="Balloon Text"/>
    <w:basedOn w:val="1"/>
    <w:qFormat/>
    <w:uiPriority w:val="0"/>
    <w:rPr>
      <w:sz w:val="18"/>
      <w:szCs w:val="18"/>
    </w:rPr>
  </w:style>
  <w:style w:type="paragraph" w:styleId="3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3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4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5">
    <w:name w:val="footnote text"/>
    <w:basedOn w:val="1"/>
    <w:qFormat/>
    <w:uiPriority w:val="0"/>
    <w:rPr>
      <w:sz w:val="20"/>
      <w:szCs w:val="20"/>
    </w:rPr>
  </w:style>
  <w:style w:type="paragraph" w:styleId="36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8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9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0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1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3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4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character" w:styleId="46">
    <w:name w:val="Strong"/>
    <w:qFormat/>
    <w:uiPriority w:val="22"/>
    <w:rPr>
      <w:b/>
      <w:bCs/>
    </w:rPr>
  </w:style>
  <w:style w:type="character" w:styleId="47">
    <w:name w:val="page number"/>
    <w:basedOn w:val="45"/>
    <w:qFormat/>
    <w:uiPriority w:val="0"/>
  </w:style>
  <w:style w:type="character" w:styleId="48">
    <w:name w:val="FollowedHyperlink"/>
    <w:qFormat/>
    <w:uiPriority w:val="0"/>
    <w:rPr>
      <w:color w:val="000000"/>
      <w:u w:val="none"/>
    </w:rPr>
  </w:style>
  <w:style w:type="character" w:styleId="49">
    <w:name w:val="Emphasis"/>
    <w:qFormat/>
    <w:uiPriority w:val="0"/>
    <w:rPr>
      <w:i/>
      <w:iCs/>
    </w:rPr>
  </w:style>
  <w:style w:type="character" w:styleId="50">
    <w:name w:val="Hyperlink"/>
    <w:qFormat/>
    <w:uiPriority w:val="0"/>
    <w:rPr>
      <w:color w:val="000000"/>
      <w:u w:val="none"/>
    </w:rPr>
  </w:style>
  <w:style w:type="character" w:styleId="51">
    <w:name w:val="annotation reference"/>
    <w:qFormat/>
    <w:uiPriority w:val="0"/>
    <w:rPr>
      <w:sz w:val="21"/>
      <w:szCs w:val="21"/>
    </w:rPr>
  </w:style>
  <w:style w:type="character" w:styleId="52">
    <w:name w:val="footnote reference"/>
    <w:qFormat/>
    <w:uiPriority w:val="0"/>
    <w:rPr>
      <w:vertAlign w:val="superscript"/>
    </w:rPr>
  </w:style>
  <w:style w:type="table" w:styleId="54">
    <w:name w:val="Table Grid"/>
    <w:basedOn w:val="5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2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5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5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5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20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5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5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5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10</Pages>
  <Words>519</Words>
  <Characters>2962</Characters>
  <Lines>24</Lines>
  <Paragraphs>6</Paragraphs>
  <TotalTime>2</TotalTime>
  <ScaleCrop>false</ScaleCrop>
  <LinksUpToDate>false</LinksUpToDate>
  <CharactersWithSpaces>3475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2023-03-09T06:05:11Z</dcterms:modified>
  <dc:title>中华人民共和国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A613DD1B75C44F42BCCFD94376B39B69</vt:lpwstr>
  </property>
</Properties>
</file>