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第二事业部池州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书香苑</w:t>
      </w:r>
      <w:r>
        <w:rPr>
          <w:rFonts w:hint="eastAsia" w:ascii="宋体" w:hAnsi="宋体" w:cs="宋体"/>
          <w:b/>
          <w:bCs/>
          <w:sz w:val="44"/>
          <w:szCs w:val="44"/>
          <w:u w:val="single"/>
        </w:rPr>
        <w:t>加气ALC内隔墙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317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墙体材料应用统一技术规范</w:t>
      </w:r>
      <w:r>
        <w:rPr>
          <w:rFonts w:ascii="仿宋" w:hAnsi="仿宋" w:eastAsia="仿宋" w:cs="仿宋_GB2312"/>
          <w:sz w:val="28"/>
          <w:szCs w:val="28"/>
          <w:u w:val="single"/>
        </w:rPr>
        <w:t>》GB/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50574-2010、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住宅工程质量通病防治技术规程</w:t>
      </w:r>
      <w:r>
        <w:rPr>
          <w:rFonts w:ascii="仿宋" w:hAnsi="仿宋" w:eastAsia="仿宋" w:cs="仿宋_GB2312"/>
          <w:sz w:val="28"/>
          <w:szCs w:val="28"/>
          <w:u w:val="single"/>
        </w:rPr>
        <w:t>》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DB34/1659-2012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（投标人如不响应此质量要求可在《第十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章》的偏离表中说明，响应则可不填。）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（4）按招标人提供清单生产，分批发货；每批发货前，招标人提前7天通知具体发货明细。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因材料产品质量不合格所造成的相关质量问题，没收中标人履约保证金（我公司将保留供方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0000元材料款作为履约保证金），同时对相关质量问题所引发的返工、耽误工期、对业主单位的生产影响等所有相关损失，中标人承担相应责任。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highlight w:val="green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根据到货情况，货到验收合格后开具发票，入账次月支付50%，春节前支付至80%，剩余20%该春节后两年内付清。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报价为含税（税率必须注明）、含运费、含包安装价。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一票制结算。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供应方须保证主体结构通过验收。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（2）墙板安装所需辅材及机械、人工均由供应方提供，并包含在报价中。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材料送至池州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书香苑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工现场。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收货人：程剑雄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18005627751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numPr>
          <w:ilvl w:val="0"/>
          <w:numId w:val="2"/>
        </w:numPr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本次招标设最高控制价，凡高于控制价均视为无效投标。</w:t>
      </w:r>
    </w:p>
    <w:p>
      <w:pPr>
        <w:numPr>
          <w:numId w:val="0"/>
        </w:numPr>
        <w:ind w:firstLine="1120" w:firstLineChars="400"/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lang w:eastAsia="zh-CN"/>
        </w:rPr>
        <w:t>拦标价：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200mm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830元/立方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（含运费含安装不含税价）</w:t>
      </w:r>
    </w:p>
    <w:p>
      <w:pPr>
        <w:numPr>
          <w:numId w:val="0"/>
        </w:numPr>
        <w:ind w:firstLine="1120" w:firstLineChars="400"/>
        <w:rPr>
          <w:rFonts w:hint="default" w:ascii="仿宋" w:hAnsi="仿宋" w:eastAsia="仿宋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 xml:space="preserve">        100mm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850元/立方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（含运费含安装不含税价）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  <w:bookmarkStart w:id="0" w:name="_GoBack"/>
      <w:bookmarkEnd w:id="0"/>
    </w:p>
    <w:p>
      <w:pPr>
        <w:numPr>
          <w:ilvl w:val="0"/>
          <w:numId w:val="3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numPr>
          <w:ilvl w:val="0"/>
          <w:numId w:val="4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5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5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5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5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5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317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加气ALC内隔墙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200mm厚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1434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GB/50574-2010；DB34/1659-2012，加工明细详见所附清单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加气ALC内隔墙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100mm厚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GB/50574-2010；DB34/1659-2012，加工明细详见所附清单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含运费、含包安装价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。供应方须保证主体结构通过验收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墙板安装所需辅材及机械、人工均由供应方提供，并包含在报价中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保留至小数点后两位。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3C7C9E5"/>
    <w:multiLevelType w:val="singleLevel"/>
    <w:tmpl w:val="23C7C9E5"/>
    <w:lvl w:ilvl="0" w:tentative="0">
      <w:start w:val="8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2274C0B"/>
    <w:rsid w:val="63E45615"/>
    <w:rsid w:val="644A2A1E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3828</Words>
  <Characters>4363</Characters>
  <Lines>33</Lines>
  <Paragraphs>9</Paragraphs>
  <TotalTime>2</TotalTime>
  <ScaleCrop>false</ScaleCrop>
  <LinksUpToDate>false</LinksUpToDate>
  <CharactersWithSpaces>4459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2023-02-28T07:01:06Z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