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hint="eastAsia" w:ascii="楷体_GB2312" w:hAnsi="宋体" w:eastAsia="楷体_GB2312" w:cs="宋体"/>
          <w:kern w:val="1"/>
          <w:sz w:val="44"/>
          <w:szCs w:val="44"/>
        </w:rPr>
      </w:pPr>
      <w:r>
        <w:rPr>
          <w:rFonts w:hint="eastAsia" w:ascii="楷体_GB2312" w:hAnsi="宋体" w:eastAsia="楷体_GB2312" w:cs="宋体"/>
          <w:kern w:val="1"/>
          <w:sz w:val="44"/>
          <w:szCs w:val="44"/>
        </w:rPr>
        <mc:AlternateContent>
          <mc:Choice Requires="wps">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CHQSY3QAAAA&#10;AwEAAA8AAAAAAAAAAQAgAAAAIgAAAGRycy9kb3ducmV2LnhtbFBLAQIUABQAAAAIAIdO4kCXbZq1&#10;swEAAEgDAAAOAAAAAAAAAAEAIAAAAB8BAABkcnMvZTJvRG9jLnhtbFBLBQYAAAAABgAGAFkBAABE&#10;BQ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hint="eastAsia" w:ascii="楷体_GB2312" w:hAnsi="宋体" w:eastAsia="楷体_GB2312" w:cs="宋体"/>
          <w:kern w:val="1"/>
          <w:sz w:val="44"/>
          <w:szCs w:val="44"/>
        </w:rPr>
      </w:pPr>
    </w:p>
    <w:p>
      <w:pPr>
        <w:spacing w:line="560" w:lineRule="exact"/>
        <w:jc w:val="center"/>
        <w:rPr>
          <w:rFonts w:hint="eastAsia"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w:t>
      </w:r>
      <w:r>
        <w:rPr>
          <w:rFonts w:hint="eastAsia" w:ascii="仿宋" w:hAnsi="仿宋" w:eastAsia="仿宋" w:cs="宋体"/>
          <w:b/>
          <w:bCs/>
          <w:kern w:val="1"/>
          <w:sz w:val="44"/>
          <w:szCs w:val="44"/>
          <w:u w:val="single"/>
          <w:lang w:eastAsia="zh-CN"/>
        </w:rPr>
        <w:t>建安建材</w:t>
      </w:r>
      <w:r>
        <w:rPr>
          <w:rFonts w:hint="eastAsia" w:ascii="仿宋" w:hAnsi="仿宋" w:eastAsia="仿宋" w:cs="宋体"/>
          <w:b/>
          <w:bCs/>
          <w:kern w:val="1"/>
          <w:sz w:val="44"/>
          <w:szCs w:val="44"/>
          <w:u w:val="single"/>
        </w:rPr>
        <w:t>公司</w:t>
      </w:r>
    </w:p>
    <w:p>
      <w:pPr>
        <w:spacing w:line="560" w:lineRule="exact"/>
        <w:jc w:val="center"/>
        <w:rPr>
          <w:rFonts w:hint="default" w:ascii="仿宋" w:hAnsi="仿宋" w:eastAsia="仿宋" w:cs="宋体"/>
          <w:b/>
          <w:bCs/>
          <w:kern w:val="1"/>
          <w:sz w:val="44"/>
          <w:szCs w:val="44"/>
          <w:u w:val="single"/>
          <w:lang w:val="en-US" w:eastAsia="zh-CN"/>
        </w:rPr>
      </w:pPr>
      <w:r>
        <w:rPr>
          <w:rFonts w:hint="eastAsia" w:ascii="仿宋" w:hAnsi="仿宋" w:eastAsia="仿宋" w:cs="宋体"/>
          <w:b/>
          <w:bCs/>
          <w:kern w:val="1"/>
          <w:sz w:val="44"/>
          <w:szCs w:val="44"/>
          <w:u w:val="single"/>
          <w:lang w:eastAsia="zh-CN"/>
        </w:rPr>
        <w:t>脱模剂</w:t>
      </w:r>
      <w:r>
        <w:rPr>
          <w:rFonts w:hint="eastAsia" w:ascii="仿宋" w:hAnsi="仿宋" w:eastAsia="仿宋" w:cs="宋体"/>
          <w:b/>
          <w:bCs/>
          <w:kern w:val="1"/>
          <w:sz w:val="44"/>
          <w:szCs w:val="44"/>
          <w:u w:val="single"/>
        </w:rPr>
        <w:t>材料</w:t>
      </w:r>
      <w:r>
        <w:rPr>
          <w:rFonts w:hint="eastAsia" w:ascii="仿宋" w:hAnsi="仿宋" w:eastAsia="仿宋" w:cs="宋体"/>
          <w:b/>
          <w:bCs/>
          <w:kern w:val="1"/>
          <w:sz w:val="44"/>
          <w:szCs w:val="44"/>
          <w:u w:val="single"/>
          <w:lang w:val="en-US" w:eastAsia="zh-CN"/>
        </w:rPr>
        <w:t>(二次招标)</w:t>
      </w:r>
    </w:p>
    <w:p>
      <w:pPr>
        <w:tabs>
          <w:tab w:val="left" w:pos="7020"/>
        </w:tabs>
        <w:jc w:val="center"/>
        <w:rPr>
          <w:rFonts w:hint="eastAsia" w:ascii="仿宋" w:hAnsi="仿宋" w:eastAsia="仿宋" w:cs="宋体"/>
          <w:b/>
          <w:bCs/>
          <w:kern w:val="1"/>
          <w:sz w:val="44"/>
          <w:szCs w:val="44"/>
          <w:u w:val="single"/>
        </w:rPr>
      </w:pPr>
    </w:p>
    <w:p>
      <w:pPr>
        <w:spacing w:line="560" w:lineRule="exact"/>
        <w:rPr>
          <w:rFonts w:hint="eastAsia" w:ascii="仿宋" w:hAnsi="仿宋" w:eastAsia="仿宋"/>
          <w:sz w:val="44"/>
          <w:szCs w:val="44"/>
        </w:rPr>
      </w:pPr>
    </w:p>
    <w:p>
      <w:pPr>
        <w:tabs>
          <w:tab w:val="left" w:pos="7020"/>
        </w:tabs>
        <w:jc w:val="center"/>
        <w:rPr>
          <w:rFonts w:hint="eastAsia"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hint="eastAsia" w:ascii="仿宋" w:hAnsi="仿宋" w:eastAsia="仿宋"/>
          <w:b/>
          <w:sz w:val="52"/>
          <w:szCs w:val="52"/>
        </w:rPr>
      </w:pPr>
    </w:p>
    <w:p>
      <w:pPr>
        <w:tabs>
          <w:tab w:val="left" w:pos="7020"/>
        </w:tabs>
        <w:spacing w:line="560" w:lineRule="exact"/>
        <w:jc w:val="center"/>
        <w:rPr>
          <w:rFonts w:hint="eastAsia" w:ascii="仿宋" w:hAnsi="仿宋" w:eastAsia="仿宋"/>
          <w:b/>
          <w:sz w:val="52"/>
          <w:szCs w:val="52"/>
        </w:rPr>
      </w:pPr>
    </w:p>
    <w:p>
      <w:pPr>
        <w:spacing w:line="560" w:lineRule="exact"/>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lang w:val="en-US" w:eastAsia="zh-CN"/>
        </w:rPr>
        <w:t>03</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2</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6</w:t>
      </w:r>
      <w:r>
        <w:rPr>
          <w:rFonts w:hint="eastAsia" w:ascii="仿宋" w:hAnsi="仿宋" w:eastAsia="仿宋" w:cs="仿宋_GB2312"/>
          <w:b/>
          <w:bCs/>
          <w:sz w:val="32"/>
          <w:szCs w:val="32"/>
          <w:u w:val="single"/>
        </w:rPr>
        <w:t>日</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hint="eastAsia" w:ascii="仿宋" w:hAnsi="仿宋" w:eastAsia="仿宋" w:cs="仿宋_GB2312"/>
          <w:b/>
          <w:bCs/>
          <w:sz w:val="32"/>
          <w:szCs w:val="32"/>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w:t>
      </w:r>
      <w:r>
        <w:rPr>
          <w:rFonts w:hint="eastAsia" w:ascii="仿宋" w:hAnsi="仿宋" w:eastAsia="仿宋" w:cs="仿宋_GB2312"/>
          <w:b/>
          <w:bCs/>
          <w:sz w:val="32"/>
          <w:szCs w:val="32"/>
          <w:u w:val="single"/>
          <w:lang w:eastAsia="zh-CN"/>
        </w:rPr>
        <w:t>、</w:t>
      </w:r>
      <w:r>
        <w:rPr>
          <w:rFonts w:hint="eastAsia" w:ascii="仿宋" w:hAnsi="仿宋" w:eastAsia="仿宋" w:cs="仿宋_GB2312"/>
          <w:b/>
          <w:bCs/>
          <w:sz w:val="32"/>
          <w:szCs w:val="32"/>
          <w:u w:val="single"/>
          <w:lang w:eastAsia="zh-CN"/>
        </w:rPr>
        <w:t>任凡</w:t>
      </w:r>
      <w:r>
        <w:rPr>
          <w:rFonts w:hint="eastAsia" w:ascii="仿宋" w:hAnsi="仿宋" w:eastAsia="仿宋" w:cs="仿宋_GB2312"/>
          <w:b/>
          <w:bCs/>
          <w:sz w:val="32"/>
          <w:szCs w:val="32"/>
          <w:u w:val="single"/>
        </w:rPr>
        <w:t>（1</w:t>
      </w:r>
      <w:r>
        <w:rPr>
          <w:rFonts w:hint="eastAsia" w:ascii="仿宋" w:hAnsi="仿宋" w:eastAsia="仿宋" w:cs="仿宋_GB2312"/>
          <w:b/>
          <w:bCs/>
          <w:sz w:val="32"/>
          <w:szCs w:val="32"/>
          <w:u w:val="single"/>
          <w:lang w:val="en-US" w:eastAsia="zh-CN"/>
        </w:rPr>
        <w:t>5656263008</w:t>
      </w:r>
      <w:r>
        <w:rPr>
          <w:rFonts w:hint="eastAsia" w:ascii="仿宋" w:hAnsi="仿宋" w:eastAsia="仿宋" w:cs="仿宋_GB2312"/>
          <w:b/>
          <w:bCs/>
          <w:sz w:val="32"/>
          <w:szCs w:val="32"/>
          <w:u w:val="single"/>
        </w:rPr>
        <w:t>）</w:t>
      </w:r>
    </w:p>
    <w:p>
      <w:pPr>
        <w:tabs>
          <w:tab w:val="left" w:pos="7020"/>
        </w:tabs>
        <w:snapToGrid w:val="0"/>
        <w:spacing w:line="560" w:lineRule="exact"/>
        <w:jc w:val="left"/>
        <w:rPr>
          <w:rFonts w:hint="eastAsia" w:ascii="仿宋" w:hAnsi="仿宋" w:eastAsia="仿宋" w:cs="仿宋_GB2312"/>
          <w:b/>
          <w:bCs/>
          <w:sz w:val="32"/>
          <w:szCs w:val="32"/>
          <w:u w:val="single"/>
        </w:rPr>
      </w:pPr>
    </w:p>
    <w:p>
      <w:pPr>
        <w:tabs>
          <w:tab w:val="left" w:pos="7020"/>
        </w:tabs>
        <w:snapToGrid w:val="0"/>
        <w:spacing w:line="560" w:lineRule="exact"/>
        <w:jc w:val="left"/>
        <w:rPr>
          <w:rFonts w:hint="eastAsia"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bCs/>
          <w:sz w:val="28"/>
          <w:szCs w:val="28"/>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日</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日</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w:t>
      </w:r>
      <w:r>
        <w:rPr>
          <w:rFonts w:hint="eastAsia" w:ascii="仿宋" w:hAnsi="仿宋" w:eastAsia="仿宋" w:cs="仿宋_GB2312"/>
          <w:sz w:val="28"/>
          <w:szCs w:val="28"/>
          <w:lang w:eastAsia="zh-CN"/>
        </w:rPr>
        <w:t>经营部</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日9:00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6、发中标通知书时间：另行通知</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7、签订合同时间：另行通知</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hint="eastAsia" w:ascii="仿宋" w:hAnsi="仿宋" w:eastAsia="仿宋" w:cs="仿宋_GB2312"/>
          <w:spacing w:val="-23"/>
          <w:sz w:val="28"/>
          <w:szCs w:val="28"/>
          <w:u w:val="single"/>
        </w:rPr>
      </w:pPr>
      <w:r>
        <w:rPr>
          <w:rFonts w:hint="eastAsia" w:ascii="仿宋" w:hAnsi="仿宋" w:eastAsia="仿宋" w:cs="仿宋_GB2312"/>
          <w:spacing w:val="-23"/>
          <w:sz w:val="28"/>
          <w:szCs w:val="28"/>
          <w:u w:val="single"/>
          <w:lang w:eastAsia="zh-CN"/>
        </w:rPr>
        <w:t>脱模剂</w:t>
      </w:r>
      <w:r>
        <w:rPr>
          <w:rFonts w:hint="eastAsia" w:ascii="仿宋" w:hAnsi="仿宋" w:eastAsia="仿宋" w:cs="仿宋_GB2312"/>
          <w:spacing w:val="-23"/>
          <w:sz w:val="28"/>
          <w:szCs w:val="28"/>
          <w:u w:val="single"/>
          <w:lang w:val="en-US" w:eastAsia="zh-CN"/>
        </w:rPr>
        <w:t>100</w:t>
      </w:r>
      <w:r>
        <w:rPr>
          <w:rFonts w:hint="eastAsia" w:ascii="仿宋" w:hAnsi="仿宋" w:eastAsia="仿宋" w:cs="仿宋_GB2312"/>
          <w:spacing w:val="-23"/>
          <w:sz w:val="28"/>
          <w:szCs w:val="28"/>
          <w:u w:val="single"/>
        </w:rPr>
        <w:t>吨。</w:t>
      </w:r>
    </w:p>
    <w:p>
      <w:pPr>
        <w:spacing w:line="560" w:lineRule="exact"/>
        <w:ind w:firstLine="468" w:firstLineChars="200"/>
        <w:rPr>
          <w:rFonts w:hint="eastAsia" w:ascii="仿宋" w:hAnsi="仿宋" w:eastAsia="仿宋" w:cs="仿宋_GB2312"/>
          <w:spacing w:val="-23"/>
          <w:sz w:val="28"/>
          <w:szCs w:val="28"/>
          <w:u w:val="single"/>
        </w:rPr>
      </w:pPr>
    </w:p>
    <w:p>
      <w:pPr>
        <w:spacing w:line="560" w:lineRule="exact"/>
        <w:ind w:firstLine="468" w:firstLineChars="200"/>
        <w:rPr>
          <w:rFonts w:hint="eastAsia" w:ascii="仿宋" w:hAnsi="仿宋" w:eastAsia="仿宋" w:cs="仿宋_GB2312"/>
          <w:spacing w:val="-23"/>
          <w:sz w:val="28"/>
          <w:szCs w:val="28"/>
          <w:u w:val="single"/>
        </w:rPr>
      </w:pPr>
    </w:p>
    <w:p>
      <w:pPr>
        <w:spacing w:line="560" w:lineRule="exact"/>
        <w:rPr>
          <w:rFonts w:hint="eastAsia"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招标人在现有条件下核定的</w:t>
      </w:r>
      <w:r>
        <w:rPr>
          <w:rFonts w:hint="eastAsia" w:ascii="仿宋" w:hAnsi="仿宋" w:eastAsia="仿宋" w:cs="仿宋_GB2312"/>
          <w:sz w:val="28"/>
          <w:szCs w:val="28"/>
          <w:lang w:val="en-US" w:eastAsia="zh-CN"/>
        </w:rPr>
        <w:t>12</w:t>
      </w:r>
      <w:r>
        <w:rPr>
          <w:rFonts w:hint="eastAsia" w:ascii="仿宋" w:hAnsi="仿宋" w:eastAsia="仿宋" w:cs="仿宋_GB2312"/>
          <w:sz w:val="28"/>
          <w:szCs w:val="28"/>
        </w:rPr>
        <w:t>个月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rPr>
        <w:t>2、</w:t>
      </w:r>
      <w:r>
        <w:rPr>
          <w:rFonts w:hint="eastAsia" w:ascii="仿宋" w:hAnsi="仿宋" w:eastAsia="仿宋" w:cs="仿宋_GB2312"/>
          <w:sz w:val="28"/>
          <w:szCs w:val="28"/>
          <w:highlight w:val="none"/>
        </w:rPr>
        <w:t>投标人须为一般纳税人,开具13%增值税专用发票。</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4、有生产经营和安全许可要求的，必须有相应有效的许可证。</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lang w:val="en-US" w:eastAsia="zh-CN"/>
        </w:rPr>
        <w:t>5</w:t>
      </w:r>
      <w:r>
        <w:rPr>
          <w:rFonts w:hint="eastAsia" w:ascii="仿宋" w:hAnsi="仿宋" w:eastAsia="仿宋" w:cs="仿宋_GB2312"/>
          <w:sz w:val="28"/>
          <w:szCs w:val="28"/>
        </w:rPr>
        <w:t>、投标人近三年无重大失信和违法、违纪行为等不良记录。</w:t>
      </w: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hint="eastAsia" w:ascii="仿宋" w:hAnsi="仿宋" w:eastAsia="仿宋" w:cs="仿宋_GB2312"/>
          <w:sz w:val="28"/>
          <w:szCs w:val="28"/>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hint="eastAsia"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8</w:t>
      </w:r>
      <w:r>
        <w:rPr>
          <w:rFonts w:hint="eastAsia" w:ascii="仿宋" w:hAnsi="仿宋" w:eastAsia="仿宋" w:cs="仿宋_GB2312"/>
          <w:sz w:val="28"/>
          <w:szCs w:val="28"/>
          <w:u w:val="single"/>
        </w:rPr>
        <w:t>日1</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w:t>
      </w:r>
      <w:r>
        <w:rPr>
          <w:rFonts w:hint="eastAsia" w:ascii="仿宋" w:hAnsi="仿宋" w:eastAsia="仿宋" w:cs="仿宋_GB2312"/>
          <w:sz w:val="28"/>
          <w:szCs w:val="28"/>
          <w:u w:val="single"/>
          <w:lang w:val="en-US" w:eastAsia="zh-CN"/>
        </w:rPr>
        <w:t>0</w:t>
      </w:r>
      <w:r>
        <w:rPr>
          <w:rFonts w:hint="eastAsia" w:ascii="仿宋" w:hAnsi="仿宋" w:eastAsia="仿宋" w:cs="仿宋_GB2312"/>
          <w:sz w:val="28"/>
          <w:szCs w:val="28"/>
          <w:u w:val="single"/>
        </w:rPr>
        <w:t>0止</w:t>
      </w:r>
    </w:p>
    <w:p>
      <w:pPr>
        <w:spacing w:line="560" w:lineRule="exact"/>
        <w:ind w:firstLine="560" w:firstLineChars="200"/>
        <w:rPr>
          <w:rFonts w:hint="eastAsia" w:ascii="仿宋" w:hAnsi="仿宋" w:eastAsia="仿宋" w:cs="仿宋_GB2312"/>
          <w:sz w:val="28"/>
          <w:szCs w:val="28"/>
          <w:u w:val="single"/>
          <w:lang w:val="en-US" w:eastAsia="zh-CN"/>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w:t>
      </w:r>
      <w:r>
        <w:rPr>
          <w:rFonts w:hint="eastAsia" w:ascii="仿宋" w:hAnsi="仿宋" w:eastAsia="仿宋" w:cs="仿宋_GB2312"/>
          <w:sz w:val="28"/>
          <w:szCs w:val="28"/>
          <w:u w:val="single"/>
          <w:lang w:val="en-US" w:eastAsia="zh-CN"/>
        </w:rPr>
        <w:t>公司物资部（黄山大道南段879号主楼四楼）</w:t>
      </w:r>
    </w:p>
    <w:p>
      <w:pPr>
        <w:spacing w:line="560" w:lineRule="exact"/>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5、联 系 人：</w:t>
      </w:r>
      <w:r>
        <w:rPr>
          <w:rFonts w:hint="eastAsia" w:ascii="仿宋" w:hAnsi="仿宋" w:eastAsia="仿宋" w:cs="仿宋_GB2312"/>
          <w:bCs/>
          <w:sz w:val="32"/>
          <w:szCs w:val="32"/>
          <w:u w:val="single"/>
          <w:lang w:val="en-US" w:eastAsia="zh-CN"/>
        </w:rPr>
        <w:t>叶明陵</w:t>
      </w:r>
      <w:r>
        <w:rPr>
          <w:rFonts w:hint="eastAsia" w:ascii="仿宋" w:hAnsi="仿宋" w:eastAsia="仿宋" w:cs="仿宋_GB2312"/>
          <w:bCs/>
          <w:sz w:val="32"/>
          <w:szCs w:val="32"/>
          <w:u w:val="single"/>
        </w:rPr>
        <w:t>（</w:t>
      </w:r>
      <w:r>
        <w:rPr>
          <w:rFonts w:hint="eastAsia" w:ascii="仿宋" w:hAnsi="仿宋" w:eastAsia="仿宋" w:cs="仿宋_GB2312"/>
          <w:bCs/>
          <w:sz w:val="32"/>
          <w:szCs w:val="32"/>
          <w:u w:val="single"/>
          <w:lang w:val="en-US" w:eastAsia="zh-CN"/>
        </w:rPr>
        <w:t>13865621916</w:t>
      </w:r>
      <w:r>
        <w:rPr>
          <w:rFonts w:hint="eastAsia" w:ascii="仿宋" w:hAnsi="仿宋" w:eastAsia="仿宋" w:cs="仿宋_GB2312"/>
          <w:bCs/>
          <w:sz w:val="32"/>
          <w:szCs w:val="32"/>
          <w:u w:val="single"/>
        </w:rPr>
        <w:t>）</w:t>
      </w:r>
      <w:r>
        <w:rPr>
          <w:rFonts w:hint="eastAsia" w:ascii="仿宋" w:hAnsi="仿宋" w:eastAsia="仿宋" w:cs="仿宋_GB2312"/>
          <w:bCs/>
          <w:sz w:val="32"/>
          <w:szCs w:val="32"/>
          <w:u w:val="single"/>
          <w:lang w:eastAsia="zh-CN"/>
        </w:rPr>
        <w:t>、任凡（</w:t>
      </w:r>
      <w:r>
        <w:rPr>
          <w:rFonts w:hint="eastAsia" w:ascii="仿宋" w:hAnsi="仿宋" w:eastAsia="仿宋" w:cs="仿宋_GB2312"/>
          <w:bCs/>
          <w:sz w:val="32"/>
          <w:szCs w:val="32"/>
          <w:u w:val="single"/>
          <w:lang w:val="en-US" w:eastAsia="zh-CN"/>
        </w:rPr>
        <w:t>15656263008</w:t>
      </w:r>
      <w:r>
        <w:rPr>
          <w:rFonts w:hint="eastAsia" w:ascii="仿宋" w:hAnsi="仿宋" w:eastAsia="仿宋" w:cs="仿宋_GB2312"/>
          <w:bCs/>
          <w:sz w:val="32"/>
          <w:szCs w:val="32"/>
          <w:u w:val="single"/>
          <w:lang w:eastAsia="zh-CN"/>
        </w:rPr>
        <w:t>）</w:t>
      </w:r>
    </w:p>
    <w:p>
      <w:pPr>
        <w:spacing w:line="560" w:lineRule="exact"/>
        <w:ind w:firstLine="560" w:firstLineChars="200"/>
        <w:rPr>
          <w:rFonts w:hint="eastAsia" w:ascii="仿宋" w:hAnsi="仿宋" w:eastAsia="仿宋" w:cs="仿宋_GB2312"/>
          <w:sz w:val="28"/>
          <w:szCs w:val="28"/>
          <w:lang w:eastAsia="zh-CN"/>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b/>
          <w:bCs/>
          <w:color w:val="C00000"/>
          <w:sz w:val="28"/>
          <w:szCs w:val="28"/>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u w:val="single"/>
          <w:lang w:eastAsia="zh-CN"/>
        </w:rPr>
        <w:t>壹</w:t>
      </w:r>
      <w:r>
        <w:rPr>
          <w:rFonts w:hint="eastAsia" w:ascii="仿宋" w:hAnsi="仿宋" w:eastAsia="仿宋" w:cs="仿宋_GB2312"/>
          <w:b/>
          <w:bCs/>
          <w:color w:val="000000"/>
          <w:sz w:val="28"/>
          <w:szCs w:val="28"/>
          <w:u w:val="single"/>
        </w:rPr>
        <w:t>万元整</w:t>
      </w:r>
      <w:r>
        <w:rPr>
          <w:rFonts w:hint="eastAsia" w:ascii="仿宋" w:hAnsi="仿宋" w:eastAsia="仿宋" w:cs="仿宋_GB2312"/>
          <w:color w:val="000000"/>
          <w:sz w:val="28"/>
          <w:szCs w:val="28"/>
        </w:rPr>
        <w:t>；</w:t>
      </w:r>
      <w:r>
        <w:rPr>
          <w:rFonts w:hint="eastAsia" w:ascii="仿宋" w:hAnsi="仿宋" w:eastAsia="仿宋" w:cs="仿宋_GB2312"/>
          <w:sz w:val="28"/>
          <w:szCs w:val="28"/>
        </w:rPr>
        <w:t>（</w:t>
      </w:r>
      <w:r>
        <w:rPr>
          <w:rFonts w:hint="eastAsia" w:ascii="仿宋" w:hAnsi="仿宋" w:eastAsia="仿宋"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w:t>
      </w:r>
      <w:r>
        <w:rPr>
          <w:rFonts w:hint="eastAsia" w:ascii="仿宋" w:hAnsi="仿宋" w:eastAsia="仿宋" w:cs="仿宋_GB2312"/>
          <w:b/>
          <w:bCs/>
          <w:sz w:val="28"/>
          <w:szCs w:val="28"/>
          <w:u w:val="single"/>
          <w:lang w:eastAsia="zh-CN"/>
        </w:rPr>
        <w:t>建安建材</w:t>
      </w:r>
      <w:r>
        <w:rPr>
          <w:rFonts w:hint="eastAsia" w:ascii="仿宋" w:hAnsi="仿宋" w:eastAsia="仿宋" w:cs="仿宋_GB2312"/>
          <w:b/>
          <w:bCs/>
          <w:sz w:val="28"/>
          <w:szCs w:val="28"/>
          <w:u w:val="single"/>
        </w:rPr>
        <w:t>公司</w:t>
      </w:r>
      <w:r>
        <w:rPr>
          <w:rFonts w:hint="eastAsia" w:ascii="仿宋" w:hAnsi="仿宋" w:eastAsia="仿宋" w:cs="仿宋_GB2312"/>
          <w:b/>
          <w:bCs/>
          <w:sz w:val="28"/>
          <w:szCs w:val="28"/>
          <w:u w:val="single"/>
          <w:lang w:eastAsia="zh-CN"/>
        </w:rPr>
        <w:t>脱模剂</w:t>
      </w:r>
      <w:r>
        <w:rPr>
          <w:rFonts w:hint="eastAsia" w:ascii="仿宋" w:hAnsi="仿宋" w:eastAsia="仿宋" w:cs="仿宋_GB2312"/>
          <w:b/>
          <w:bCs/>
          <w:sz w:val="28"/>
          <w:szCs w:val="28"/>
          <w:u w:val="single"/>
        </w:rPr>
        <w:t>材料TGJA-WZ-202</w:t>
      </w:r>
      <w:r>
        <w:rPr>
          <w:rFonts w:hint="eastAsia" w:ascii="仿宋" w:hAnsi="仿宋" w:eastAsia="仿宋" w:cs="仿宋_GB2312"/>
          <w:b/>
          <w:bCs/>
          <w:sz w:val="28"/>
          <w:szCs w:val="28"/>
          <w:u w:val="single"/>
          <w:lang w:val="en-US" w:eastAsia="zh-CN"/>
        </w:rPr>
        <w:t>3</w:t>
      </w:r>
      <w:r>
        <w:rPr>
          <w:rFonts w:hint="eastAsia" w:ascii="仿宋" w:hAnsi="仿宋" w:eastAsia="仿宋" w:cs="仿宋_GB2312"/>
          <w:b/>
          <w:bCs/>
          <w:sz w:val="28"/>
          <w:szCs w:val="28"/>
          <w:u w:val="single"/>
          <w:lang w:val="en-US" w:eastAsia="zh-CN"/>
        </w:rPr>
        <w:t>03</w:t>
      </w:r>
      <w:r>
        <w:rPr>
          <w:rFonts w:hint="eastAsia" w:ascii="仿宋" w:hAnsi="仿宋" w:eastAsia="仿宋" w:cs="仿宋_GB2312"/>
          <w:b/>
          <w:bCs/>
          <w:sz w:val="28"/>
          <w:szCs w:val="28"/>
          <w:u w:val="single"/>
        </w:rPr>
        <w:t>投标保证金</w:t>
      </w:r>
    </w:p>
    <w:p>
      <w:pPr>
        <w:spacing w:line="560" w:lineRule="exact"/>
        <w:ind w:firstLine="562" w:firstLineChars="200"/>
        <w:jc w:val="left"/>
        <w:rPr>
          <w:rFonts w:hint="eastAsia"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hint="eastAsia"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 xml:space="preserve">3、在签订合同前，中标人须交纳履约保证金。履约保证金金额为中标合同总金额的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日</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:00</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w:t>
      </w:r>
      <w:r>
        <w:rPr>
          <w:rFonts w:hint="eastAsia" w:ascii="仿宋" w:hAnsi="仿宋" w:eastAsia="仿宋" w:cs="仿宋_GB2312"/>
          <w:sz w:val="28"/>
          <w:szCs w:val="28"/>
          <w:lang w:eastAsia="zh-CN"/>
        </w:rPr>
        <w:t>经营</w:t>
      </w:r>
      <w:r>
        <w:rPr>
          <w:rFonts w:hint="eastAsia" w:ascii="仿宋" w:hAnsi="仿宋" w:eastAsia="仿宋" w:cs="仿宋_GB2312"/>
          <w:sz w:val="28"/>
          <w:szCs w:val="28"/>
          <w:lang w:val="en-US" w:eastAsia="zh-CN"/>
        </w:rPr>
        <w:t>部</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jc w:val="center"/>
        <w:rPr>
          <w:rFonts w:hint="eastAsia" w:ascii="仿宋" w:hAnsi="仿宋" w:eastAsia="仿宋" w:cs="仿宋_GB2312"/>
          <w:b/>
          <w:sz w:val="36"/>
          <w:szCs w:val="36"/>
        </w:rPr>
      </w:pP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（1）材料质量要求</w:t>
      </w:r>
    </w:p>
    <w:p>
      <w:pPr>
        <w:numPr>
          <w:ilvl w:val="0"/>
          <w:numId w:val="0"/>
        </w:numPr>
        <w:ind w:firstLine="1400" w:firstLineChars="500"/>
        <w:jc w:val="left"/>
        <w:rPr>
          <w:rFonts w:hint="eastAsia" w:ascii="仿宋" w:hAnsi="仿宋" w:eastAsia="仿宋" w:cs="仿宋_GB2312"/>
          <w:b w:val="0"/>
          <w:bCs w:val="0"/>
          <w:sz w:val="28"/>
          <w:szCs w:val="28"/>
          <w:highlight w:val="none"/>
          <w:u w:val="single"/>
          <w:lang w:val="en-US" w:eastAsia="zh-CN"/>
        </w:rPr>
      </w:pPr>
      <w:r>
        <w:rPr>
          <w:rFonts w:hint="eastAsia" w:ascii="仿宋" w:hAnsi="仿宋" w:eastAsia="仿宋" w:cs="仿宋_GB2312"/>
          <w:b w:val="0"/>
          <w:bCs w:val="0"/>
          <w:sz w:val="28"/>
          <w:szCs w:val="28"/>
          <w:highlight w:val="none"/>
          <w:u w:val="single"/>
          <w:lang w:val="en-US" w:eastAsia="zh-CN"/>
        </w:rPr>
        <w:t>脱模剂:</w:t>
      </w:r>
    </w:p>
    <w:tbl>
      <w:tblPr>
        <w:tblStyle w:val="55"/>
        <w:tblpPr w:leftFromText="180" w:rightFromText="180" w:vertAnchor="text" w:horzAnchor="page" w:tblpX="1766" w:tblpY="109"/>
        <w:tblOverlap w:val="never"/>
        <w:tblW w:w="79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59"/>
        <w:gridCol w:w="3288"/>
        <w:gridCol w:w="20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trPr>
        <w:tc>
          <w:tcPr>
            <w:tcW w:w="2659" w:type="dxa"/>
            <w:vMerge w:val="restart"/>
            <w:vAlign w:val="center"/>
          </w:tcPr>
          <w:p>
            <w:pPr>
              <w:jc w:val="center"/>
              <w:rPr>
                <w:rFonts w:hint="default"/>
                <w:vertAlign w:val="baseline"/>
                <w:lang w:val="en-US" w:eastAsia="zh-CN"/>
              </w:rPr>
            </w:pPr>
            <w:r>
              <w:rPr>
                <w:rFonts w:hint="eastAsia"/>
                <w:vertAlign w:val="baseline"/>
                <w:lang w:val="en-US" w:eastAsia="zh-CN"/>
              </w:rPr>
              <w:t>倾点/℃</w:t>
            </w:r>
          </w:p>
        </w:tc>
        <w:tc>
          <w:tcPr>
            <w:tcW w:w="3288" w:type="dxa"/>
            <w:vAlign w:val="center"/>
          </w:tcPr>
          <w:p>
            <w:pPr>
              <w:jc w:val="center"/>
              <w:rPr>
                <w:rFonts w:hint="default"/>
                <w:vertAlign w:val="baseline"/>
                <w:lang w:val="en-US" w:eastAsia="zh-CN"/>
              </w:rPr>
            </w:pPr>
            <w:r>
              <w:rPr>
                <w:rFonts w:hint="eastAsia"/>
                <w:vertAlign w:val="baseline"/>
                <w:lang w:val="en-US" w:eastAsia="zh-CN"/>
              </w:rPr>
              <w:t>矿油型润滑油      -48℃—-6℃</w:t>
            </w:r>
          </w:p>
        </w:tc>
        <w:tc>
          <w:tcPr>
            <w:tcW w:w="2026" w:type="dxa"/>
            <w:vMerge w:val="restart"/>
            <w:vAlign w:val="center"/>
          </w:tcPr>
          <w:p>
            <w:pPr>
              <w:jc w:val="center"/>
              <w:rPr>
                <w:rFonts w:hint="default"/>
                <w:vertAlign w:val="baseline"/>
                <w:lang w:val="en-US" w:eastAsia="zh-CN"/>
              </w:rPr>
            </w:pPr>
            <w:r>
              <w:rPr>
                <w:rFonts w:hint="eastAsia"/>
                <w:vertAlign w:val="baseline"/>
                <w:lang w:val="en-US" w:eastAsia="zh-CN"/>
              </w:rPr>
              <w:t>GB/T 3535—2006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trPr>
        <w:tc>
          <w:tcPr>
            <w:tcW w:w="2659" w:type="dxa"/>
            <w:vMerge w:val="continue"/>
            <w:vAlign w:val="center"/>
          </w:tcPr>
          <w:p>
            <w:pPr>
              <w:jc w:val="center"/>
            </w:pPr>
          </w:p>
        </w:tc>
        <w:tc>
          <w:tcPr>
            <w:tcW w:w="3288" w:type="dxa"/>
            <w:vAlign w:val="center"/>
          </w:tcPr>
          <w:p>
            <w:pPr>
              <w:jc w:val="center"/>
              <w:rPr>
                <w:rFonts w:hint="default"/>
                <w:vertAlign w:val="baseline"/>
                <w:lang w:val="en-US" w:eastAsia="zh-CN"/>
              </w:rPr>
            </w:pPr>
            <w:r>
              <w:rPr>
                <w:rFonts w:hint="eastAsia"/>
                <w:vertAlign w:val="baseline"/>
                <w:lang w:val="en-US" w:eastAsia="zh-CN"/>
              </w:rPr>
              <w:t>燃料油            -33℃—51℃</w:t>
            </w:r>
          </w:p>
        </w:tc>
        <w:tc>
          <w:tcPr>
            <w:tcW w:w="2026" w:type="dxa"/>
            <w:vMerge w:val="continue"/>
            <w:vAlign w:val="center"/>
          </w:tcPr>
          <w:p>
            <w:pPr>
              <w:jc w:val="cente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7" w:hRule="atLeast"/>
        </w:trPr>
        <w:tc>
          <w:tcPr>
            <w:tcW w:w="2659" w:type="dxa"/>
            <w:vAlign w:val="center"/>
          </w:tcPr>
          <w:p>
            <w:pPr>
              <w:jc w:val="center"/>
              <w:rPr>
                <w:rFonts w:hint="default"/>
                <w:vertAlign w:val="baseline"/>
                <w:lang w:val="en-US" w:eastAsia="zh-CN"/>
              </w:rPr>
            </w:pPr>
            <w:r>
              <w:rPr>
                <w:rFonts w:hint="eastAsia"/>
                <w:vertAlign w:val="baseline"/>
                <w:lang w:val="en-US" w:eastAsia="zh-CN"/>
              </w:rPr>
              <w:t>粘度指数</w:t>
            </w:r>
          </w:p>
        </w:tc>
        <w:tc>
          <w:tcPr>
            <w:tcW w:w="3288" w:type="dxa"/>
            <w:vAlign w:val="center"/>
          </w:tcPr>
          <w:p>
            <w:pPr>
              <w:jc w:val="center"/>
              <w:rPr>
                <w:rFonts w:hint="default"/>
                <w:vertAlign w:val="baseline"/>
                <w:lang w:val="en-US" w:eastAsia="zh-CN"/>
              </w:rPr>
            </w:pPr>
            <w:r>
              <w:rPr>
                <w:rFonts w:hint="eastAsia"/>
                <w:vertAlign w:val="baseline"/>
                <w:lang w:val="en-US" w:eastAsia="zh-CN"/>
              </w:rPr>
              <w:t>＞100</w:t>
            </w:r>
          </w:p>
        </w:tc>
        <w:tc>
          <w:tcPr>
            <w:tcW w:w="2026" w:type="dxa"/>
            <w:vAlign w:val="center"/>
          </w:tcPr>
          <w:p>
            <w:pPr>
              <w:jc w:val="center"/>
              <w:rPr>
                <w:rFonts w:hint="default"/>
                <w:vertAlign w:val="baseline"/>
                <w:lang w:val="en-US" w:eastAsia="zh-CN"/>
              </w:rPr>
            </w:pPr>
            <w:r>
              <w:rPr>
                <w:rFonts w:hint="eastAsia"/>
                <w:vertAlign w:val="baseline"/>
                <w:lang w:val="en-US" w:eastAsia="zh-CN"/>
              </w:rPr>
              <w:t>GB/T 1995-1998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59" w:type="dxa"/>
            <w:vAlign w:val="center"/>
          </w:tcPr>
          <w:p>
            <w:pPr>
              <w:jc w:val="center"/>
              <w:rPr>
                <w:rFonts w:hint="default"/>
                <w:vertAlign w:val="baseline"/>
                <w:lang w:val="en-US" w:eastAsia="zh-CN"/>
              </w:rPr>
            </w:pPr>
            <w:r>
              <w:rPr>
                <w:rFonts w:hint="eastAsia"/>
                <w:vertAlign w:val="baseline"/>
                <w:lang w:val="en-US" w:eastAsia="zh-CN"/>
              </w:rPr>
              <w:t>闪点（开口）/℃</w:t>
            </w:r>
          </w:p>
        </w:tc>
        <w:tc>
          <w:tcPr>
            <w:tcW w:w="3288" w:type="dxa"/>
            <w:vAlign w:val="center"/>
          </w:tcPr>
          <w:p>
            <w:pPr>
              <w:jc w:val="center"/>
              <w:rPr>
                <w:rFonts w:hint="default"/>
                <w:vertAlign w:val="baseline"/>
                <w:lang w:val="en-US" w:eastAsia="zh-CN"/>
              </w:rPr>
            </w:pPr>
            <w:r>
              <w:rPr>
                <w:rFonts w:hint="eastAsia"/>
                <w:vertAlign w:val="baseline"/>
                <w:lang w:val="en-US" w:eastAsia="zh-CN"/>
              </w:rPr>
              <w:t>＞139</w:t>
            </w:r>
          </w:p>
        </w:tc>
        <w:tc>
          <w:tcPr>
            <w:tcW w:w="2026" w:type="dxa"/>
            <w:vAlign w:val="center"/>
          </w:tcPr>
          <w:p>
            <w:pPr>
              <w:jc w:val="center"/>
              <w:rPr>
                <w:rFonts w:hint="default"/>
                <w:vertAlign w:val="baseline"/>
                <w:lang w:val="en-US" w:eastAsia="zh-CN"/>
              </w:rPr>
            </w:pPr>
            <w:r>
              <w:rPr>
                <w:rFonts w:hint="eastAsia"/>
                <w:vertAlign w:val="baseline"/>
                <w:lang w:val="en-US" w:eastAsia="zh-CN"/>
              </w:rPr>
              <w:t>GB/T 3536—2008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2659" w:type="dxa"/>
            <w:vAlign w:val="center"/>
          </w:tcPr>
          <w:p>
            <w:pPr>
              <w:jc w:val="center"/>
              <w:rPr>
                <w:rFonts w:hint="default"/>
                <w:vertAlign w:val="baseline"/>
                <w:lang w:val="en-US" w:eastAsia="zh-CN"/>
              </w:rPr>
            </w:pPr>
            <w:r>
              <w:rPr>
                <w:rFonts w:hint="eastAsia"/>
                <w:vertAlign w:val="baseline"/>
                <w:lang w:val="en-US" w:eastAsia="zh-CN"/>
              </w:rPr>
              <w:t>运动粘度（40℃）/（mm</w:t>
            </w:r>
            <w:r>
              <w:rPr>
                <w:rFonts w:hint="eastAsia"/>
                <w:vertAlign w:val="superscript"/>
                <w:lang w:val="en-US" w:eastAsia="zh-CN"/>
              </w:rPr>
              <w:t>2</w:t>
            </w:r>
            <w:r>
              <w:rPr>
                <w:rFonts w:hint="eastAsia"/>
                <w:vertAlign w:val="baseline"/>
                <w:lang w:val="en-US" w:eastAsia="zh-CN"/>
              </w:rPr>
              <w:t>/s）</w:t>
            </w:r>
          </w:p>
        </w:tc>
        <w:tc>
          <w:tcPr>
            <w:tcW w:w="3288" w:type="dxa"/>
            <w:vAlign w:val="center"/>
          </w:tcPr>
          <w:p>
            <w:pPr>
              <w:jc w:val="center"/>
              <w:rPr>
                <w:rFonts w:hint="default"/>
                <w:vertAlign w:val="baseline"/>
                <w:lang w:val="en-US" w:eastAsia="zh-CN"/>
              </w:rPr>
            </w:pPr>
            <w:r>
              <w:rPr>
                <w:rFonts w:hint="eastAsia"/>
                <w:vertAlign w:val="baseline"/>
                <w:lang w:val="en-US" w:eastAsia="zh-CN"/>
              </w:rPr>
              <w:t>＞400</w:t>
            </w:r>
          </w:p>
        </w:tc>
        <w:tc>
          <w:tcPr>
            <w:tcW w:w="2026" w:type="dxa"/>
            <w:vAlign w:val="center"/>
          </w:tcPr>
          <w:p>
            <w:pPr>
              <w:jc w:val="center"/>
              <w:rPr>
                <w:rFonts w:hint="default"/>
                <w:vertAlign w:val="baseline"/>
                <w:lang w:val="en-US" w:eastAsia="zh-CN"/>
              </w:rPr>
            </w:pPr>
            <w:r>
              <w:rPr>
                <w:rFonts w:hint="eastAsia"/>
                <w:vertAlign w:val="baseline"/>
                <w:lang w:val="en-US" w:eastAsia="zh-CN"/>
              </w:rPr>
              <w:t>GB 265-1988</w:t>
            </w:r>
          </w:p>
        </w:tc>
      </w:tr>
    </w:tbl>
    <w:p>
      <w:pPr>
        <w:spacing w:line="560" w:lineRule="exact"/>
        <w:ind w:firstLine="560" w:firstLineChars="200"/>
        <w:rPr>
          <w:rFonts w:hint="eastAsia" w:ascii="仿宋_GB2312" w:hAnsi="仿宋_GB2312" w:eastAsia="仿宋_GB2312" w:cs="仿宋_GB2312"/>
          <w:sz w:val="28"/>
          <w:szCs w:val="28"/>
          <w:u w:val="single"/>
        </w:rPr>
      </w:pPr>
    </w:p>
    <w:p>
      <w:pPr>
        <w:spacing w:line="560" w:lineRule="exact"/>
        <w:ind w:firstLine="560" w:firstLineChars="200"/>
        <w:rPr>
          <w:rFonts w:hint="eastAsia" w:ascii="仿宋_GB2312" w:hAnsi="仿宋_GB2312" w:eastAsia="仿宋_GB2312" w:cs="仿宋_GB2312"/>
          <w:sz w:val="28"/>
          <w:szCs w:val="28"/>
          <w:u w:val="single"/>
        </w:rPr>
      </w:pPr>
    </w:p>
    <w:p>
      <w:pPr>
        <w:spacing w:line="560" w:lineRule="exact"/>
        <w:ind w:firstLine="560" w:firstLineChars="200"/>
        <w:rPr>
          <w:rFonts w:hint="eastAsia" w:ascii="仿宋_GB2312" w:hAnsi="仿宋_GB2312" w:eastAsia="仿宋_GB2312" w:cs="仿宋_GB2312"/>
          <w:sz w:val="28"/>
          <w:szCs w:val="28"/>
          <w:u w:val="single"/>
        </w:rPr>
      </w:pPr>
    </w:p>
    <w:p>
      <w:pPr>
        <w:spacing w:line="560" w:lineRule="exact"/>
        <w:ind w:firstLine="560" w:firstLineChars="200"/>
        <w:rPr>
          <w:rFonts w:hint="eastAsia" w:ascii="仿宋_GB2312" w:hAnsi="仿宋_GB2312" w:eastAsia="仿宋_GB2312" w:cs="仿宋_GB2312"/>
          <w:sz w:val="28"/>
          <w:szCs w:val="28"/>
          <w:u w:val="single"/>
        </w:rPr>
      </w:pPr>
    </w:p>
    <w:p>
      <w:pPr>
        <w:spacing w:line="560" w:lineRule="exact"/>
        <w:ind w:firstLine="560" w:firstLineChars="200"/>
        <w:rPr>
          <w:rFonts w:hint="eastAsia" w:ascii="仿宋" w:hAnsi="仿宋" w:eastAsia="仿宋" w:cs="仿宋_GB2312"/>
          <w:sz w:val="28"/>
          <w:szCs w:val="28"/>
        </w:rPr>
      </w:pPr>
      <w:r>
        <w:rPr>
          <w:rFonts w:hint="eastAsia" w:ascii="仿宋_GB2312" w:hAnsi="仿宋_GB2312" w:eastAsia="仿宋_GB2312" w:cs="仿宋_GB2312"/>
          <w:sz w:val="28"/>
          <w:szCs w:val="28"/>
          <w:u w:val="single"/>
        </w:rPr>
        <w:t>如有相关指标未达标，中标人应</w:t>
      </w:r>
      <w:r>
        <w:rPr>
          <w:rFonts w:hint="eastAsia" w:ascii="仿宋_GB2312" w:hAnsi="仿宋_GB2312" w:eastAsia="仿宋_GB2312" w:cs="仿宋_GB2312"/>
          <w:sz w:val="28"/>
          <w:szCs w:val="28"/>
          <w:highlight w:val="none"/>
          <w:u w:val="single"/>
        </w:rPr>
        <w:t>立即停供。</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（3）若达不到招标人要求的，中标人无条件将该车货物拉回且不计货款，动用招标人机械装货收取</w:t>
      </w:r>
      <w:r>
        <w:rPr>
          <w:rFonts w:hint="eastAsia" w:ascii="仿宋" w:hAnsi="仿宋" w:eastAsia="仿宋" w:cs="仿宋_GB2312"/>
          <w:b/>
          <w:bCs/>
          <w:color w:val="FF0000"/>
          <w:sz w:val="28"/>
          <w:szCs w:val="28"/>
          <w:u w:val="single"/>
        </w:rPr>
        <w:t>500</w:t>
      </w:r>
      <w:r>
        <w:rPr>
          <w:rFonts w:hint="eastAsia" w:ascii="仿宋" w:hAnsi="仿宋" w:eastAsia="仿宋" w:cs="仿宋_GB2312"/>
          <w:sz w:val="28"/>
          <w:szCs w:val="28"/>
        </w:rPr>
        <w:t>元/车装车费。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材料送至铜陵铜冠</w:t>
      </w:r>
      <w:r>
        <w:rPr>
          <w:rFonts w:hint="eastAsia" w:ascii="仿宋" w:hAnsi="仿宋" w:eastAsia="仿宋" w:cs="仿宋_GB2312"/>
          <w:sz w:val="28"/>
          <w:szCs w:val="28"/>
          <w:lang w:eastAsia="zh-CN"/>
        </w:rPr>
        <w:t>建安新型环保建材科技有限</w:t>
      </w:r>
      <w:r>
        <w:rPr>
          <w:rFonts w:hint="eastAsia" w:ascii="仿宋" w:hAnsi="仿宋" w:eastAsia="仿宋" w:cs="仿宋_GB2312"/>
          <w:sz w:val="28"/>
          <w:szCs w:val="28"/>
        </w:rPr>
        <w:t>公司。</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本次招标的材料由中标人负责运输。运输过程中未按相关安全、环保等要求所导致的一切安全环保生产事故由中标人承担责任。</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4、报价相关要求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（1）本次招标设置招标控制价</w:t>
      </w:r>
    </w:p>
    <w:p>
      <w:pPr>
        <w:spacing w:line="560" w:lineRule="exact"/>
        <w:ind w:firstLine="840" w:firstLineChars="300"/>
        <w:rPr>
          <w:rFonts w:ascii="仿宋" w:hAnsi="仿宋" w:eastAsia="仿宋" w:cs="仿宋_GB2312"/>
          <w:sz w:val="28"/>
          <w:szCs w:val="28"/>
          <w:highlight w:val="none"/>
        </w:rPr>
      </w:pPr>
      <w:r>
        <w:rPr>
          <w:rFonts w:hint="eastAsia" w:ascii="仿宋" w:hAnsi="仿宋" w:eastAsia="仿宋" w:cs="仿宋_GB2312"/>
          <w:sz w:val="28"/>
          <w:szCs w:val="28"/>
          <w:highlight w:val="none"/>
          <w:lang w:eastAsia="zh-CN"/>
        </w:rPr>
        <w:t>脱模剂</w:t>
      </w:r>
      <w:r>
        <w:rPr>
          <w:rFonts w:hint="eastAsia" w:ascii="仿宋" w:hAnsi="仿宋" w:eastAsia="仿宋" w:cs="仿宋_GB2312"/>
          <w:sz w:val="28"/>
          <w:szCs w:val="28"/>
          <w:highlight w:val="none"/>
        </w:rPr>
        <w:t>招标控制价为</w:t>
      </w:r>
      <w:r>
        <w:rPr>
          <w:rFonts w:hint="eastAsia" w:ascii="仿宋" w:hAnsi="仿宋" w:eastAsia="仿宋" w:cs="仿宋_GB2312"/>
          <w:sz w:val="28"/>
          <w:szCs w:val="28"/>
          <w:highlight w:val="none"/>
          <w:lang w:val="en-US" w:eastAsia="zh-CN"/>
        </w:rPr>
        <w:t>2500</w:t>
      </w:r>
      <w:r>
        <w:rPr>
          <w:rFonts w:hint="eastAsia" w:ascii="仿宋" w:hAnsi="仿宋" w:eastAsia="仿宋" w:cs="仿宋_GB2312"/>
          <w:sz w:val="28"/>
          <w:szCs w:val="28"/>
          <w:highlight w:val="none"/>
        </w:rPr>
        <w:t>元/吨（含</w:t>
      </w:r>
      <w:r>
        <w:rPr>
          <w:rFonts w:hint="eastAsia" w:ascii="仿宋" w:hAnsi="仿宋" w:eastAsia="仿宋" w:cs="仿宋_GB2312"/>
          <w:sz w:val="28"/>
          <w:szCs w:val="28"/>
          <w:highlight w:val="none"/>
          <w:lang w:val="en-US" w:eastAsia="zh-CN"/>
        </w:rPr>
        <w:t>13%增值</w:t>
      </w:r>
      <w:r>
        <w:rPr>
          <w:rFonts w:hint="eastAsia" w:ascii="仿宋" w:hAnsi="仿宋" w:eastAsia="仿宋" w:cs="仿宋_GB2312"/>
          <w:sz w:val="28"/>
          <w:szCs w:val="28"/>
          <w:highlight w:val="none"/>
        </w:rPr>
        <w:t>税含运费）。</w:t>
      </w:r>
    </w:p>
    <w:p>
      <w:pPr>
        <w:spacing w:line="560" w:lineRule="exact"/>
        <w:ind w:left="560"/>
        <w:rPr>
          <w:rFonts w:ascii="仿宋" w:hAnsi="仿宋" w:eastAsia="仿宋" w:cs="仿宋_GB2312"/>
          <w:sz w:val="28"/>
          <w:szCs w:val="28"/>
        </w:rPr>
      </w:pPr>
      <w:r>
        <w:rPr>
          <w:rFonts w:hint="eastAsia" w:ascii="仿宋" w:hAnsi="仿宋" w:eastAsia="仿宋" w:cs="仿宋_GB2312"/>
          <w:sz w:val="28"/>
          <w:szCs w:val="28"/>
        </w:rPr>
        <w:t>（2）凡高于招标控制价的报价均视为无效报价</w:t>
      </w:r>
      <w:r>
        <w:rPr>
          <w:rFonts w:hint="eastAsia" w:ascii="仿宋" w:hAnsi="仿宋" w:eastAsia="仿宋" w:cs="仿宋_GB2312"/>
          <w:sz w:val="28"/>
          <w:szCs w:val="28"/>
          <w:highlight w:val="none"/>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hint="eastAsia"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u w:val="single"/>
        </w:rPr>
        <w:t>密封袋封口处应密封严实，并应加盖投标人公章。未按装订要求装订的，招标单位不负责相关保密要求，</w:t>
      </w:r>
      <w:r>
        <w:rPr>
          <w:rFonts w:hint="eastAsia" w:ascii="仿宋" w:hAnsi="仿宋" w:eastAsia="仿宋" w:cs="仿宋_GB2312"/>
          <w:b/>
          <w:bCs/>
          <w:sz w:val="28"/>
          <w:szCs w:val="28"/>
          <w:u w:val="single"/>
        </w:rPr>
        <w:t>同时视为无效投标</w:t>
      </w:r>
      <w:r>
        <w:rPr>
          <w:rFonts w:hint="eastAsia" w:ascii="仿宋" w:hAnsi="仿宋" w:eastAsia="仿宋" w:cs="仿宋_GB2312"/>
          <w:sz w:val="28"/>
          <w:szCs w:val="28"/>
          <w:u w:val="single"/>
        </w:rPr>
        <w:t>。</w:t>
      </w:r>
    </w:p>
    <w:p>
      <w:pPr>
        <w:numPr>
          <w:ilvl w:val="0"/>
          <w:numId w:val="2"/>
        </w:num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结算数量</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（1）每车供货数量的确认：以铜陵铜冠</w:t>
      </w:r>
      <w:r>
        <w:rPr>
          <w:rFonts w:hint="eastAsia" w:ascii="仿宋" w:hAnsi="仿宋" w:eastAsia="仿宋" w:cs="仿宋_GB2312"/>
          <w:sz w:val="28"/>
          <w:szCs w:val="28"/>
          <w:lang w:eastAsia="zh-CN"/>
        </w:rPr>
        <w:t>建安新型环保建材科技有限</w:t>
      </w:r>
      <w:r>
        <w:rPr>
          <w:rFonts w:hint="eastAsia" w:ascii="仿宋" w:hAnsi="仿宋" w:eastAsia="仿宋" w:cs="仿宋_GB2312"/>
          <w:sz w:val="28"/>
          <w:szCs w:val="28"/>
        </w:rPr>
        <w:t>公司磅单为准。</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（2）每月供货数量的确认：供方每月2</w:t>
      </w:r>
      <w:r>
        <w:rPr>
          <w:rFonts w:hint="eastAsia" w:ascii="仿宋" w:hAnsi="仿宋" w:eastAsia="仿宋" w:cs="仿宋_GB2312"/>
          <w:sz w:val="28"/>
          <w:szCs w:val="28"/>
          <w:lang w:val="en-US" w:eastAsia="zh-CN"/>
        </w:rPr>
        <w:t>6</w:t>
      </w:r>
      <w:r>
        <w:rPr>
          <w:rFonts w:hint="eastAsia" w:ascii="仿宋" w:hAnsi="仿宋" w:eastAsia="仿宋" w:cs="仿宋_GB2312"/>
          <w:sz w:val="28"/>
          <w:szCs w:val="28"/>
        </w:rPr>
        <w:t>号与需方核对本月供应数量和金额，供应数量按照</w:t>
      </w:r>
      <w:r>
        <w:rPr>
          <w:rFonts w:hint="eastAsia" w:ascii="仿宋" w:hAnsi="仿宋" w:eastAsia="仿宋" w:cs="仿宋_GB2312"/>
          <w:sz w:val="28"/>
          <w:szCs w:val="28"/>
          <w:lang w:eastAsia="zh-CN"/>
        </w:rPr>
        <w:t>建材公司</w:t>
      </w:r>
      <w:r>
        <w:rPr>
          <w:rFonts w:hint="eastAsia" w:ascii="仿宋" w:hAnsi="仿宋" w:eastAsia="仿宋" w:cs="仿宋_GB2312"/>
          <w:sz w:val="28"/>
          <w:szCs w:val="28"/>
        </w:rPr>
        <w:t>磅单为结算数量，供需双方共同确认供应数量和金额后在结算单上签字。</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7、结算价格</w:t>
      </w:r>
    </w:p>
    <w:p>
      <w:pPr>
        <w:spacing w:line="560" w:lineRule="exact"/>
        <w:rPr>
          <w:rFonts w:ascii="仿宋" w:hAnsi="仿宋" w:eastAsia="仿宋" w:cs="仿宋_GB2312"/>
          <w:spacing w:val="-17"/>
          <w:sz w:val="28"/>
          <w:szCs w:val="28"/>
        </w:rPr>
      </w:pPr>
      <w:r>
        <w:rPr>
          <w:rFonts w:hint="eastAsia" w:ascii="仿宋" w:hAnsi="仿宋" w:eastAsia="仿宋" w:cs="仿宋_GB2312"/>
          <w:sz w:val="28"/>
          <w:szCs w:val="28"/>
        </w:rPr>
        <w:t xml:space="preserve">    </w:t>
      </w:r>
      <w:r>
        <w:rPr>
          <w:rFonts w:hint="eastAsia" w:ascii="仿宋" w:hAnsi="仿宋" w:eastAsia="仿宋" w:cs="仿宋_GB2312"/>
          <w:sz w:val="28"/>
          <w:szCs w:val="28"/>
          <w:u w:val="single"/>
        </w:rPr>
        <w:t>各投标单位报价须谨慎，一旦中标不得以任何理由变更报价</w:t>
      </w:r>
      <w:r>
        <w:rPr>
          <w:rFonts w:hint="eastAsia" w:ascii="仿宋" w:hAnsi="仿宋" w:eastAsia="仿宋" w:cs="仿宋_GB2312"/>
          <w:spacing w:val="-17"/>
          <w:sz w:val="28"/>
          <w:szCs w:val="28"/>
          <w:u w:val="single"/>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8、付款方式</w:t>
      </w:r>
    </w:p>
    <w:p>
      <w:pPr>
        <w:spacing w:line="520" w:lineRule="exact"/>
        <w:ind w:firstLine="560" w:firstLineChars="200"/>
        <w:rPr>
          <w:rFonts w:hint="eastAsia" w:ascii="仿宋" w:hAnsi="仿宋" w:eastAsia="仿宋" w:cs="仿宋_GB2312"/>
          <w:b/>
          <w:sz w:val="36"/>
          <w:szCs w:val="36"/>
        </w:rPr>
      </w:pPr>
      <w:r>
        <w:rPr>
          <w:rFonts w:hint="eastAsia" w:ascii="仿宋" w:hAnsi="仿宋" w:eastAsia="仿宋" w:cs="仿宋"/>
          <w:i w:val="0"/>
          <w:iCs w:val="0"/>
          <w:caps w:val="0"/>
          <w:color w:val="171A1D"/>
          <w:spacing w:val="0"/>
          <w:sz w:val="28"/>
          <w:szCs w:val="28"/>
          <w:highlight w:val="green"/>
          <w:shd w:val="clear" w:color="auto" w:fill="FFFFFF"/>
        </w:rPr>
        <w:t>供方按需方要求开具等价货款发票;需方收到增值税专用发票日起当月内办理进账手续，次月</w:t>
      </w:r>
      <w:r>
        <w:rPr>
          <w:rFonts w:hint="eastAsia" w:ascii="仿宋" w:hAnsi="仿宋" w:eastAsia="仿宋" w:cs="仿宋"/>
          <w:i w:val="0"/>
          <w:iCs w:val="0"/>
          <w:caps w:val="0"/>
          <w:color w:val="171A1D"/>
          <w:spacing w:val="0"/>
          <w:sz w:val="28"/>
          <w:szCs w:val="28"/>
          <w:highlight w:val="green"/>
          <w:shd w:val="clear" w:color="auto" w:fill="FFFFFF"/>
          <w:lang w:eastAsia="zh-CN"/>
        </w:rPr>
        <w:t>支付发票金额的</w:t>
      </w:r>
      <w:r>
        <w:rPr>
          <w:rFonts w:hint="eastAsia" w:ascii="仿宋" w:hAnsi="仿宋" w:eastAsia="仿宋" w:cs="仿宋"/>
          <w:i w:val="0"/>
          <w:iCs w:val="0"/>
          <w:caps w:val="0"/>
          <w:color w:val="171A1D"/>
          <w:spacing w:val="0"/>
          <w:sz w:val="28"/>
          <w:szCs w:val="28"/>
          <w:highlight w:val="green"/>
          <w:shd w:val="clear" w:color="auto" w:fill="FFFFFF"/>
        </w:rPr>
        <w:t>40%</w:t>
      </w:r>
      <w:r>
        <w:rPr>
          <w:rFonts w:hint="eastAsia" w:ascii="仿宋" w:hAnsi="仿宋" w:eastAsia="仿宋" w:cs="仿宋"/>
          <w:i w:val="0"/>
          <w:iCs w:val="0"/>
          <w:caps w:val="0"/>
          <w:color w:val="171A1D"/>
          <w:spacing w:val="0"/>
          <w:sz w:val="28"/>
          <w:szCs w:val="28"/>
          <w:highlight w:val="green"/>
          <w:shd w:val="clear" w:color="auto" w:fill="FFFFFF"/>
          <w:lang w:eastAsia="zh-CN"/>
        </w:rPr>
        <w:t>，</w:t>
      </w:r>
      <w:r>
        <w:rPr>
          <w:rFonts w:hint="eastAsia" w:ascii="仿宋" w:hAnsi="仿宋" w:eastAsia="仿宋" w:cs="仿宋"/>
          <w:i w:val="0"/>
          <w:iCs w:val="0"/>
          <w:caps w:val="0"/>
          <w:color w:val="171A1D"/>
          <w:spacing w:val="0"/>
          <w:sz w:val="28"/>
          <w:szCs w:val="28"/>
          <w:highlight w:val="green"/>
          <w:shd w:val="clear" w:color="auto" w:fill="FFFFFF"/>
        </w:rPr>
        <w:t>年底付到不低于总款项的80%货款。</w:t>
      </w:r>
      <w:r>
        <w:rPr>
          <w:rFonts w:hint="eastAsia" w:ascii="仿宋" w:hAnsi="仿宋" w:eastAsia="仿宋" w:cs="仿宋"/>
          <w:i w:val="0"/>
          <w:iCs w:val="0"/>
          <w:caps w:val="0"/>
          <w:color w:val="171A1D"/>
          <w:spacing w:val="0"/>
          <w:sz w:val="28"/>
          <w:szCs w:val="28"/>
          <w:highlight w:val="green"/>
          <w:shd w:val="clear" w:color="auto" w:fill="FFFFFF"/>
          <w:lang w:eastAsia="zh-CN"/>
        </w:rPr>
        <w:t>余下</w:t>
      </w:r>
      <w:r>
        <w:rPr>
          <w:rFonts w:hint="eastAsia" w:ascii="仿宋" w:hAnsi="仿宋" w:eastAsia="仿宋" w:cs="仿宋"/>
          <w:i w:val="0"/>
          <w:iCs w:val="0"/>
          <w:caps w:val="0"/>
          <w:color w:val="171A1D"/>
          <w:spacing w:val="0"/>
          <w:sz w:val="28"/>
          <w:szCs w:val="28"/>
          <w:highlight w:val="green"/>
          <w:shd w:val="clear" w:color="auto" w:fill="FFFFFF"/>
          <w:lang w:val="en-US" w:eastAsia="zh-CN"/>
        </w:rPr>
        <w:t>20%货款2024年春节前付清。</w:t>
      </w:r>
      <w:r>
        <w:rPr>
          <w:rFonts w:hint="eastAsia" w:ascii="仿宋" w:hAnsi="仿宋" w:eastAsia="仿宋" w:cs="仿宋"/>
          <w:i w:val="0"/>
          <w:iCs w:val="0"/>
          <w:caps w:val="0"/>
          <w:color w:val="171A1D"/>
          <w:spacing w:val="0"/>
          <w:sz w:val="28"/>
          <w:szCs w:val="28"/>
          <w:highlight w:val="green"/>
          <w:shd w:val="clear" w:color="auto" w:fill="FFFFFF"/>
        </w:rPr>
        <w:t>货款以对公转账方式支付至供方</w:t>
      </w:r>
      <w:r>
        <w:rPr>
          <w:rFonts w:hint="eastAsia" w:ascii="仿宋" w:hAnsi="仿宋" w:eastAsia="仿宋" w:cs="仿宋"/>
          <w:i w:val="0"/>
          <w:iCs w:val="0"/>
          <w:caps w:val="0"/>
          <w:color w:val="171A1D"/>
          <w:spacing w:val="0"/>
          <w:sz w:val="28"/>
          <w:szCs w:val="28"/>
          <w:highlight w:val="green"/>
          <w:shd w:val="clear" w:color="auto" w:fill="FFFFFF"/>
          <w:lang w:eastAsia="zh-CN"/>
        </w:rPr>
        <w:t>对公</w:t>
      </w:r>
      <w:r>
        <w:rPr>
          <w:rFonts w:hint="eastAsia" w:ascii="仿宋" w:hAnsi="仿宋" w:eastAsia="仿宋" w:cs="仿宋"/>
          <w:i w:val="0"/>
          <w:iCs w:val="0"/>
          <w:caps w:val="0"/>
          <w:color w:val="171A1D"/>
          <w:spacing w:val="0"/>
          <w:sz w:val="28"/>
          <w:szCs w:val="28"/>
          <w:highlight w:val="green"/>
          <w:shd w:val="clear" w:color="auto" w:fill="FFFFFF"/>
        </w:rPr>
        <w:t>账户，</w:t>
      </w:r>
      <w:r>
        <w:rPr>
          <w:rFonts w:hint="eastAsia" w:ascii="仿宋" w:hAnsi="仿宋" w:eastAsia="仿宋" w:cs="仿宋"/>
          <w:i w:val="0"/>
          <w:iCs w:val="0"/>
          <w:caps w:val="0"/>
          <w:color w:val="171A1D"/>
          <w:spacing w:val="0"/>
          <w:sz w:val="28"/>
          <w:szCs w:val="28"/>
          <w:highlight w:val="green"/>
          <w:shd w:val="clear" w:color="auto" w:fill="FFFFFF"/>
          <w:lang w:eastAsia="zh-CN"/>
        </w:rPr>
        <w:t>支付</w:t>
      </w:r>
      <w:r>
        <w:rPr>
          <w:rFonts w:hint="eastAsia" w:ascii="仿宋" w:hAnsi="仿宋" w:eastAsia="仿宋" w:cs="仿宋"/>
          <w:i w:val="0"/>
          <w:iCs w:val="0"/>
          <w:caps w:val="0"/>
          <w:color w:val="171A1D"/>
          <w:spacing w:val="0"/>
          <w:sz w:val="28"/>
          <w:szCs w:val="28"/>
          <w:highlight w:val="green"/>
          <w:shd w:val="clear" w:color="auto" w:fill="FFFFFF"/>
        </w:rPr>
        <w:t>电汇</w:t>
      </w:r>
      <w:r>
        <w:rPr>
          <w:rFonts w:hint="eastAsia" w:ascii="仿宋" w:hAnsi="仿宋" w:eastAsia="仿宋" w:cs="仿宋"/>
          <w:i w:val="0"/>
          <w:iCs w:val="0"/>
          <w:caps w:val="0"/>
          <w:color w:val="171A1D"/>
          <w:spacing w:val="0"/>
          <w:sz w:val="28"/>
          <w:szCs w:val="28"/>
          <w:highlight w:val="green"/>
          <w:shd w:val="clear" w:color="auto" w:fill="FFFFFF"/>
          <w:lang w:eastAsia="zh-CN"/>
        </w:rPr>
        <w:t>或不超过合同总金额</w:t>
      </w:r>
      <w:r>
        <w:rPr>
          <w:rFonts w:hint="eastAsia" w:ascii="仿宋" w:hAnsi="仿宋" w:eastAsia="仿宋" w:cs="仿宋"/>
          <w:i w:val="0"/>
          <w:iCs w:val="0"/>
          <w:caps w:val="0"/>
          <w:color w:val="171A1D"/>
          <w:spacing w:val="0"/>
          <w:sz w:val="28"/>
          <w:szCs w:val="28"/>
          <w:highlight w:val="green"/>
          <w:shd w:val="clear" w:color="auto" w:fill="FFFFFF"/>
          <w:lang w:val="en-US" w:eastAsia="zh-CN"/>
        </w:rPr>
        <w:t>50%的6个月内银行电子承兑</w:t>
      </w:r>
      <w:r>
        <w:rPr>
          <w:rFonts w:hint="eastAsia" w:ascii="仿宋" w:hAnsi="仿宋" w:eastAsia="仿宋" w:cs="仿宋"/>
          <w:i w:val="0"/>
          <w:iCs w:val="0"/>
          <w:caps w:val="0"/>
          <w:color w:val="171A1D"/>
          <w:spacing w:val="0"/>
          <w:sz w:val="28"/>
          <w:szCs w:val="28"/>
          <w:highlight w:val="green"/>
          <w:shd w:val="clear" w:color="auto" w:fill="FFFFFF"/>
        </w:rPr>
        <w:t>。</w:t>
      </w: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hint="eastAsia" w:ascii="仿宋" w:hAnsi="仿宋" w:eastAsia="仿宋" w:cs="仿宋_GB2312"/>
          <w:b/>
          <w:sz w:val="36"/>
          <w:szCs w:val="36"/>
        </w:rPr>
      </w:pP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rPr>
        <w:t>3、评标：</w:t>
      </w:r>
      <w:r>
        <w:rPr>
          <w:rFonts w:hint="eastAsia" w:ascii="仿宋" w:hAnsi="仿宋" w:eastAsia="仿宋" w:cs="仿宋_GB2312"/>
          <w:sz w:val="28"/>
          <w:szCs w:val="28"/>
          <w:highlight w:val="none"/>
          <w:u w:val="single"/>
        </w:rPr>
        <w:t>本次评标以价格为评标依据，采取“合理低价法”评标。即以经评委会审核，剔除偏离市场行情较大的恶意报价后的报价进行排序</w:t>
      </w:r>
      <w:r>
        <w:rPr>
          <w:rFonts w:hint="eastAsia" w:ascii="仿宋" w:hAnsi="仿宋" w:eastAsia="仿宋" w:cs="仿宋_GB2312"/>
          <w:sz w:val="28"/>
          <w:szCs w:val="28"/>
          <w:highlight w:val="none"/>
          <w:u w:val="single"/>
          <w:lang w:eastAsia="zh-CN"/>
        </w:rPr>
        <w:t>，最低价报价单位</w:t>
      </w:r>
      <w:r>
        <w:rPr>
          <w:rFonts w:hint="eastAsia" w:ascii="仿宋" w:hAnsi="仿宋" w:eastAsia="仿宋" w:cs="仿宋_GB2312"/>
          <w:sz w:val="28"/>
          <w:szCs w:val="28"/>
          <w:highlight w:val="none"/>
          <w:u w:val="single"/>
        </w:rPr>
        <w:t>确定</w:t>
      </w:r>
      <w:r>
        <w:rPr>
          <w:rFonts w:hint="eastAsia" w:ascii="仿宋" w:hAnsi="仿宋" w:eastAsia="仿宋" w:cs="仿宋_GB2312"/>
          <w:sz w:val="28"/>
          <w:szCs w:val="28"/>
          <w:highlight w:val="none"/>
          <w:u w:val="single"/>
          <w:lang w:eastAsia="zh-CN"/>
        </w:rPr>
        <w:t>为</w:t>
      </w:r>
      <w:r>
        <w:rPr>
          <w:rFonts w:hint="eastAsia" w:ascii="仿宋" w:hAnsi="仿宋" w:eastAsia="仿宋" w:cs="仿宋_GB2312"/>
          <w:sz w:val="28"/>
          <w:szCs w:val="28"/>
          <w:highlight w:val="none"/>
          <w:u w:val="single"/>
        </w:rPr>
        <w:t>预中标单位。</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hint="eastAsia" w:ascii="仿宋" w:hAnsi="仿宋" w:eastAsia="仿宋" w:cs="仿宋_GB2312"/>
          <w:sz w:val="28"/>
          <w:szCs w:val="28"/>
          <w:highlight w:val="none"/>
          <w:u w:val="single"/>
        </w:rPr>
      </w:pPr>
      <w:r>
        <w:rPr>
          <w:rFonts w:hint="eastAsia" w:ascii="仿宋" w:hAnsi="仿宋" w:eastAsia="仿宋" w:cs="仿宋_GB2312"/>
          <w:sz w:val="28"/>
          <w:szCs w:val="28"/>
          <w:highlight w:val="none"/>
          <w:u w:val="single"/>
        </w:rPr>
        <w:t>评标委员会依据评标结果，推荐一名中标候选人。</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bookmarkStart w:id="0" w:name="_GoBack"/>
      <w:bookmarkEnd w:id="0"/>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20"/>
        <w:spacing w:line="560" w:lineRule="exact"/>
        <w:rPr>
          <w:rFonts w:ascii="仿宋" w:hAnsi="仿宋" w:eastAsia="仿宋"/>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156" w:beforeLines="50" w:after="156" w:afterLines="50" w:line="560" w:lineRule="exact"/>
        <w:ind w:firstLine="480" w:firstLineChars="200"/>
        <w:rPr>
          <w:rFonts w:ascii="仿宋" w:hAnsi="仿宋" w:eastAsia="仿宋"/>
          <w:sz w:val="24"/>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hint="eastAsia" w:ascii="仿宋" w:hAnsi="仿宋" w:eastAsia="仿宋" w:cs="仿宋_GB2312"/>
          <w:sz w:val="28"/>
          <w:szCs w:val="28"/>
        </w:rPr>
      </w:pP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hint="eastAsia" w:ascii="仿宋" w:hAnsi="仿宋" w:eastAsia="仿宋" w:cs="仿宋_GB2312"/>
          <w:sz w:val="28"/>
          <w:szCs w:val="28"/>
        </w:rPr>
      </w:pPr>
    </w:p>
    <w:p>
      <w:pPr>
        <w:spacing w:line="560" w:lineRule="exact"/>
        <w:ind w:firstLine="7280" w:firstLineChars="2600"/>
        <w:rPr>
          <w:rFonts w:hint="eastAsia"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3"/>
        </w:numPr>
        <w:spacing w:line="560" w:lineRule="exact"/>
        <w:ind w:firstLine="560" w:firstLineChars="200"/>
        <w:jc w:val="left"/>
        <w:rPr>
          <w:rFonts w:hint="eastAsia"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hint="eastAsia" w:ascii="仿宋" w:hAnsi="仿宋" w:eastAsia="仿宋" w:cs="仿宋_GB2312"/>
          <w:color w:val="000000"/>
          <w:sz w:val="28"/>
          <w:szCs w:val="28"/>
          <w:u w:val="single"/>
        </w:rPr>
      </w:pPr>
    </w:p>
    <w:p>
      <w:pPr>
        <w:spacing w:line="560" w:lineRule="exact"/>
        <w:ind w:firstLine="5320" w:firstLineChars="1900"/>
        <w:rPr>
          <w:rFonts w:hint="eastAsia" w:ascii="仿宋" w:hAnsi="仿宋" w:eastAsia="仿宋" w:cs="仿宋_GB2312"/>
          <w:sz w:val="28"/>
          <w:szCs w:val="28"/>
        </w:rPr>
      </w:pP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hint="eastAsia"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hint="eastAsia"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spacing w:line="400" w:lineRule="exact"/>
        <w:rPr>
          <w:rFonts w:hint="eastAsia" w:ascii="仿宋" w:hAnsi="仿宋" w:eastAsia="仿宋" w:cs="仿宋_GB2312"/>
          <w:b/>
          <w:sz w:val="36"/>
          <w:szCs w:val="36"/>
        </w:rPr>
      </w:pPr>
    </w:p>
    <w:p>
      <w:pPr>
        <w:spacing w:line="400" w:lineRule="exact"/>
        <w:jc w:val="center"/>
        <w:rPr>
          <w:rFonts w:hint="eastAsia" w:ascii="仿宋" w:hAnsi="仿宋" w:eastAsia="仿宋"/>
          <w:b/>
          <w:sz w:val="28"/>
          <w:szCs w:val="28"/>
        </w:rPr>
      </w:pPr>
      <w:r>
        <w:rPr>
          <w:rFonts w:hint="eastAsia" w:ascii="仿宋" w:hAnsi="仿宋" w:eastAsia="仿宋" w:cs="仿宋_GB2312"/>
          <w:b/>
          <w:sz w:val="36"/>
          <w:szCs w:val="36"/>
        </w:rPr>
        <w:t>十三、报价单</w:t>
      </w:r>
    </w:p>
    <w:p>
      <w:pPr>
        <w:spacing w:line="400" w:lineRule="exact"/>
        <w:rPr>
          <w:rFonts w:hint="eastAsia" w:ascii="仿宋" w:hAnsi="仿宋" w:eastAsia="仿宋"/>
          <w:b/>
          <w:sz w:val="28"/>
          <w:szCs w:val="28"/>
        </w:rPr>
      </w:pPr>
      <w:r>
        <w:rPr>
          <w:rFonts w:hint="eastAsia" w:ascii="仿宋" w:hAnsi="仿宋" w:eastAsia="仿宋"/>
          <w:b/>
          <w:sz w:val="28"/>
          <w:szCs w:val="28"/>
        </w:rPr>
        <w:t>报价单（TGJA-WZ-202</w:t>
      </w:r>
      <w:r>
        <w:rPr>
          <w:rFonts w:hint="eastAsia" w:ascii="仿宋" w:hAnsi="仿宋" w:eastAsia="仿宋"/>
          <w:b/>
          <w:sz w:val="28"/>
          <w:szCs w:val="28"/>
          <w:lang w:val="en-US" w:eastAsia="zh-CN"/>
        </w:rPr>
        <w:t>3</w:t>
      </w:r>
      <w:r>
        <w:rPr>
          <w:rFonts w:hint="eastAsia" w:ascii="仿宋" w:hAnsi="仿宋" w:eastAsia="仿宋"/>
          <w:b/>
          <w:sz w:val="28"/>
          <w:szCs w:val="28"/>
          <w:lang w:val="en-US" w:eastAsia="zh-CN"/>
        </w:rPr>
        <w:t>03</w:t>
      </w:r>
      <w:r>
        <w:rPr>
          <w:rFonts w:hint="eastAsia" w:ascii="仿宋" w:hAnsi="仿宋" w:eastAsia="仿宋"/>
          <w:b/>
          <w:sz w:val="28"/>
          <w:szCs w:val="28"/>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1530"/>
        <w:gridCol w:w="1515"/>
        <w:gridCol w:w="1065"/>
        <w:gridCol w:w="1170"/>
        <w:gridCol w:w="1710"/>
        <w:gridCol w:w="1923"/>
        <w:gridCol w:w="1417"/>
        <w:gridCol w:w="1055"/>
        <w:gridCol w:w="1740"/>
        <w:gridCol w:w="1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443" w:type="dxa"/>
            <w:vAlign w:val="center"/>
          </w:tcPr>
          <w:p>
            <w:pPr>
              <w:spacing w:line="400" w:lineRule="exact"/>
              <w:jc w:val="center"/>
              <w:rPr>
                <w:rFonts w:hint="eastAsia" w:ascii="仿宋" w:hAnsi="仿宋" w:eastAsia="仿宋"/>
                <w:sz w:val="24"/>
              </w:rPr>
            </w:pPr>
            <w:r>
              <w:rPr>
                <w:rFonts w:hint="eastAsia" w:ascii="仿宋" w:hAnsi="仿宋" w:eastAsia="仿宋"/>
                <w:sz w:val="24"/>
              </w:rPr>
              <w:t>序号</w:t>
            </w:r>
          </w:p>
        </w:tc>
        <w:tc>
          <w:tcPr>
            <w:tcW w:w="1530" w:type="dxa"/>
            <w:vAlign w:val="center"/>
          </w:tcPr>
          <w:p>
            <w:pPr>
              <w:spacing w:line="400" w:lineRule="exact"/>
              <w:jc w:val="center"/>
              <w:rPr>
                <w:rFonts w:hint="eastAsia" w:ascii="仿宋" w:hAnsi="仿宋" w:eastAsia="仿宋"/>
                <w:sz w:val="24"/>
              </w:rPr>
            </w:pPr>
            <w:r>
              <w:rPr>
                <w:rFonts w:hint="eastAsia" w:ascii="仿宋" w:hAnsi="仿宋" w:eastAsia="仿宋"/>
                <w:sz w:val="24"/>
              </w:rPr>
              <w:t>物料名称</w:t>
            </w:r>
          </w:p>
        </w:tc>
        <w:tc>
          <w:tcPr>
            <w:tcW w:w="1515" w:type="dxa"/>
            <w:vAlign w:val="center"/>
          </w:tcPr>
          <w:p>
            <w:pPr>
              <w:spacing w:line="400" w:lineRule="exact"/>
              <w:jc w:val="center"/>
              <w:rPr>
                <w:rFonts w:hint="eastAsia" w:ascii="仿宋" w:hAnsi="仿宋" w:eastAsia="仿宋"/>
                <w:sz w:val="24"/>
              </w:rPr>
            </w:pPr>
            <w:r>
              <w:rPr>
                <w:rFonts w:hint="eastAsia" w:ascii="仿宋" w:hAnsi="仿宋" w:eastAsia="仿宋"/>
                <w:sz w:val="24"/>
              </w:rPr>
              <w:t>型号规格</w:t>
            </w:r>
          </w:p>
        </w:tc>
        <w:tc>
          <w:tcPr>
            <w:tcW w:w="1065" w:type="dxa"/>
            <w:vAlign w:val="center"/>
          </w:tcPr>
          <w:p>
            <w:pPr>
              <w:spacing w:line="400" w:lineRule="exact"/>
              <w:jc w:val="center"/>
              <w:rPr>
                <w:rFonts w:hint="eastAsia" w:ascii="仿宋" w:hAnsi="仿宋" w:eastAsia="仿宋"/>
                <w:sz w:val="24"/>
              </w:rPr>
            </w:pPr>
            <w:r>
              <w:rPr>
                <w:rFonts w:hint="eastAsia" w:ascii="仿宋" w:hAnsi="仿宋" w:eastAsia="仿宋"/>
                <w:sz w:val="24"/>
              </w:rPr>
              <w:t>单位</w:t>
            </w:r>
          </w:p>
        </w:tc>
        <w:tc>
          <w:tcPr>
            <w:tcW w:w="1170" w:type="dxa"/>
            <w:vAlign w:val="center"/>
          </w:tcPr>
          <w:p>
            <w:pPr>
              <w:spacing w:line="400" w:lineRule="exact"/>
              <w:jc w:val="center"/>
              <w:rPr>
                <w:rFonts w:hint="eastAsia" w:ascii="仿宋" w:hAnsi="仿宋" w:eastAsia="仿宋"/>
                <w:sz w:val="24"/>
              </w:rPr>
            </w:pPr>
            <w:r>
              <w:rPr>
                <w:rFonts w:hint="eastAsia" w:ascii="仿宋" w:hAnsi="仿宋" w:eastAsia="仿宋"/>
                <w:sz w:val="24"/>
              </w:rPr>
              <w:t>数量</w:t>
            </w:r>
          </w:p>
        </w:tc>
        <w:tc>
          <w:tcPr>
            <w:tcW w:w="1710" w:type="dxa"/>
            <w:vAlign w:val="center"/>
          </w:tcPr>
          <w:p>
            <w:pPr>
              <w:spacing w:line="400" w:lineRule="exact"/>
              <w:jc w:val="center"/>
              <w:rPr>
                <w:rFonts w:ascii="仿宋" w:hAnsi="仿宋" w:eastAsia="仿宋"/>
                <w:sz w:val="24"/>
              </w:rPr>
            </w:pPr>
            <w:r>
              <w:rPr>
                <w:rFonts w:hint="eastAsia" w:ascii="仿宋" w:hAnsi="仿宋" w:eastAsia="仿宋"/>
                <w:sz w:val="24"/>
              </w:rPr>
              <w:t>含</w:t>
            </w:r>
            <w:r>
              <w:rPr>
                <w:rFonts w:hint="eastAsia" w:ascii="仿宋" w:hAnsi="仿宋" w:eastAsia="仿宋"/>
                <w:sz w:val="24"/>
                <w:lang w:val="en-US" w:eastAsia="zh-CN"/>
              </w:rPr>
              <w:t>13</w:t>
            </w:r>
            <w:r>
              <w:rPr>
                <w:rFonts w:hint="eastAsia" w:ascii="仿宋" w:hAnsi="仿宋" w:eastAsia="仿宋"/>
                <w:sz w:val="24"/>
              </w:rPr>
              <w:t>税含运费单价</w:t>
            </w:r>
            <w:r>
              <w:rPr>
                <w:rFonts w:hint="eastAsia" w:ascii="仿宋" w:hAnsi="仿宋" w:eastAsia="仿宋"/>
                <w:color w:val="FF0000"/>
                <w:sz w:val="24"/>
              </w:rPr>
              <w:t>*</w:t>
            </w:r>
          </w:p>
        </w:tc>
        <w:tc>
          <w:tcPr>
            <w:tcW w:w="1923" w:type="dxa"/>
            <w:vAlign w:val="center"/>
          </w:tcPr>
          <w:p>
            <w:pPr>
              <w:spacing w:line="400" w:lineRule="exact"/>
              <w:jc w:val="center"/>
              <w:rPr>
                <w:rFonts w:hint="eastAsia" w:ascii="仿宋" w:hAnsi="仿宋" w:eastAsia="仿宋"/>
                <w:sz w:val="24"/>
              </w:rPr>
            </w:pPr>
            <w:r>
              <w:rPr>
                <w:rFonts w:ascii="仿宋" w:hAnsi="仿宋" w:eastAsia="仿宋"/>
                <w:sz w:val="24"/>
              </w:rPr>
              <w:t>含</w:t>
            </w:r>
            <w:r>
              <w:rPr>
                <w:rFonts w:hint="eastAsia" w:ascii="仿宋" w:hAnsi="仿宋" w:eastAsia="仿宋"/>
                <w:sz w:val="24"/>
                <w:lang w:val="en-US" w:eastAsia="zh-CN"/>
              </w:rPr>
              <w:t>13</w:t>
            </w:r>
            <w:r>
              <w:rPr>
                <w:rFonts w:ascii="仿宋" w:hAnsi="仿宋" w:eastAsia="仿宋"/>
                <w:sz w:val="24"/>
              </w:rPr>
              <w:t>税</w:t>
            </w:r>
            <w:r>
              <w:rPr>
                <w:rFonts w:hint="eastAsia" w:ascii="仿宋" w:hAnsi="仿宋" w:eastAsia="仿宋"/>
                <w:sz w:val="24"/>
              </w:rPr>
              <w:t>含运费</w:t>
            </w:r>
          </w:p>
          <w:p>
            <w:pPr>
              <w:spacing w:line="400" w:lineRule="exact"/>
              <w:jc w:val="center"/>
              <w:rPr>
                <w:rFonts w:ascii="仿宋" w:hAnsi="仿宋" w:eastAsia="仿宋"/>
                <w:sz w:val="24"/>
              </w:rPr>
            </w:pPr>
            <w:r>
              <w:rPr>
                <w:rFonts w:ascii="仿宋" w:hAnsi="仿宋" w:eastAsia="仿宋"/>
                <w:sz w:val="24"/>
              </w:rPr>
              <w:t>金额</w:t>
            </w:r>
            <w:r>
              <w:rPr>
                <w:rFonts w:hint="eastAsia" w:ascii="仿宋" w:hAnsi="仿宋" w:eastAsia="仿宋"/>
                <w:color w:val="FF0000"/>
                <w:sz w:val="24"/>
              </w:rPr>
              <w:t>*</w:t>
            </w:r>
          </w:p>
        </w:tc>
        <w:tc>
          <w:tcPr>
            <w:tcW w:w="1417" w:type="dxa"/>
            <w:vAlign w:val="center"/>
          </w:tcPr>
          <w:p>
            <w:pPr>
              <w:spacing w:line="400" w:lineRule="exact"/>
              <w:jc w:val="center"/>
              <w:rPr>
                <w:rFonts w:ascii="仿宋" w:hAnsi="仿宋" w:eastAsia="仿宋"/>
                <w:sz w:val="24"/>
              </w:rPr>
            </w:pPr>
            <w:r>
              <w:rPr>
                <w:rFonts w:hint="eastAsia" w:ascii="仿宋" w:hAnsi="仿宋" w:eastAsia="仿宋"/>
                <w:sz w:val="24"/>
              </w:rPr>
              <w:t>税率</w:t>
            </w:r>
            <w:r>
              <w:rPr>
                <w:rFonts w:hint="eastAsia" w:ascii="仿宋" w:hAnsi="仿宋" w:eastAsia="仿宋"/>
                <w:color w:val="FF0000"/>
                <w:sz w:val="24"/>
              </w:rPr>
              <w:t>*</w:t>
            </w:r>
          </w:p>
        </w:tc>
        <w:tc>
          <w:tcPr>
            <w:tcW w:w="2795" w:type="dxa"/>
            <w:gridSpan w:val="2"/>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1875" w:type="dxa"/>
            <w:vAlign w:val="center"/>
          </w:tcPr>
          <w:p>
            <w:pPr>
              <w:spacing w:line="400" w:lineRule="exact"/>
              <w:jc w:val="center"/>
              <w:rPr>
                <w:rFonts w:hint="eastAsia"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5" w:hRule="atLeast"/>
        </w:trPr>
        <w:tc>
          <w:tcPr>
            <w:tcW w:w="443"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153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脱模剂</w:t>
            </w:r>
          </w:p>
        </w:tc>
        <w:tc>
          <w:tcPr>
            <w:tcW w:w="1515"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参照招标文件</w:t>
            </w:r>
          </w:p>
        </w:tc>
        <w:tc>
          <w:tcPr>
            <w:tcW w:w="106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吨</w:t>
            </w:r>
          </w:p>
        </w:tc>
        <w:tc>
          <w:tcPr>
            <w:tcW w:w="117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100</w:t>
            </w:r>
          </w:p>
        </w:tc>
        <w:tc>
          <w:tcPr>
            <w:tcW w:w="1710" w:type="dxa"/>
            <w:vAlign w:val="center"/>
          </w:tcPr>
          <w:p>
            <w:pPr>
              <w:spacing w:line="400" w:lineRule="exact"/>
              <w:jc w:val="center"/>
              <w:rPr>
                <w:rFonts w:hint="eastAsia" w:ascii="仿宋" w:hAnsi="仿宋" w:eastAsia="仿宋"/>
                <w:sz w:val="24"/>
              </w:rPr>
            </w:pPr>
          </w:p>
        </w:tc>
        <w:tc>
          <w:tcPr>
            <w:tcW w:w="1923" w:type="dxa"/>
            <w:vAlign w:val="center"/>
          </w:tcPr>
          <w:p>
            <w:pPr>
              <w:spacing w:line="400" w:lineRule="exact"/>
              <w:jc w:val="center"/>
              <w:rPr>
                <w:rFonts w:hint="eastAsia" w:ascii="仿宋" w:hAnsi="仿宋" w:eastAsia="仿宋"/>
                <w:sz w:val="24"/>
              </w:rPr>
            </w:pPr>
          </w:p>
        </w:tc>
        <w:tc>
          <w:tcPr>
            <w:tcW w:w="1417"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2795" w:type="dxa"/>
            <w:gridSpan w:val="2"/>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875" w:type="dxa"/>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9" w:hRule="atLeast"/>
        </w:trPr>
        <w:tc>
          <w:tcPr>
            <w:tcW w:w="15443" w:type="dxa"/>
            <w:gridSpan w:val="11"/>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723" w:type="dxa"/>
            <w:gridSpan w:val="5"/>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3633" w:type="dxa"/>
            <w:gridSpan w:val="2"/>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6087"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723" w:type="dxa"/>
            <w:gridSpan w:val="5"/>
            <w:vMerge w:val="continue"/>
            <w:vAlign w:val="center"/>
          </w:tcPr>
          <w:p>
            <w:pPr>
              <w:spacing w:line="400" w:lineRule="exact"/>
              <w:rPr>
                <w:rFonts w:hint="eastAsia" w:ascii="仿宋" w:hAnsi="仿宋" w:eastAsia="仿宋"/>
                <w:sz w:val="24"/>
              </w:rPr>
            </w:pPr>
          </w:p>
        </w:tc>
        <w:tc>
          <w:tcPr>
            <w:tcW w:w="3633" w:type="dxa"/>
            <w:gridSpan w:val="2"/>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2472"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615" w:type="dxa"/>
            <w:gridSpan w:val="2"/>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723" w:type="dxa"/>
            <w:gridSpan w:val="5"/>
            <w:vMerge w:val="continue"/>
            <w:vAlign w:val="center"/>
          </w:tcPr>
          <w:p>
            <w:pPr>
              <w:spacing w:line="400" w:lineRule="exact"/>
              <w:rPr>
                <w:rFonts w:hint="eastAsia" w:ascii="仿宋" w:hAnsi="仿宋" w:eastAsia="仿宋"/>
                <w:sz w:val="24"/>
              </w:rPr>
            </w:pPr>
          </w:p>
        </w:tc>
        <w:tc>
          <w:tcPr>
            <w:tcW w:w="3633" w:type="dxa"/>
            <w:gridSpan w:val="2"/>
            <w:vMerge w:val="continue"/>
            <w:vAlign w:val="center"/>
          </w:tcPr>
          <w:p>
            <w:pPr>
              <w:spacing w:line="400" w:lineRule="exact"/>
              <w:jc w:val="center"/>
              <w:rPr>
                <w:rFonts w:hint="eastAsia" w:ascii="仿宋" w:hAnsi="仿宋" w:eastAsia="仿宋"/>
                <w:sz w:val="24"/>
              </w:rPr>
            </w:pPr>
          </w:p>
        </w:tc>
        <w:tc>
          <w:tcPr>
            <w:tcW w:w="2472"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615" w:type="dxa"/>
            <w:gridSpan w:val="2"/>
            <w:vAlign w:val="center"/>
          </w:tcPr>
          <w:p>
            <w:pPr>
              <w:spacing w:line="400" w:lineRule="exact"/>
              <w:rPr>
                <w:rFonts w:hint="eastAsia" w:ascii="仿宋" w:hAnsi="仿宋" w:eastAsia="仿宋"/>
                <w:sz w:val="24"/>
              </w:rPr>
            </w:pPr>
          </w:p>
        </w:tc>
      </w:tr>
    </w:tbl>
    <w:p>
      <w:pPr>
        <w:spacing w:line="400" w:lineRule="exact"/>
        <w:jc w:val="both"/>
        <w:rPr>
          <w:rFonts w:hint="eastAsia" w:ascii="仿宋" w:hAnsi="仿宋" w:eastAsia="仿宋" w:cs="仿宋_GB2312"/>
          <w:b/>
          <w:sz w:val="36"/>
          <w:szCs w:val="36"/>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华文细黑">
    <w:altName w:val="微软雅黑"/>
    <w:panose1 w:val="02010600040101010101"/>
    <w:charset w:val="86"/>
    <w:family w:val="auto"/>
    <w:pitch w:val="default"/>
    <w:sig w:usb0="00000287" w:usb1="080F0000" w:usb2="00000010" w:usb3="00000000" w:csb0="0004009F" w:csb1="00000000"/>
  </w:font>
  <w:font w:name="Cambria">
    <w:panose1 w:val="02040503050406030204"/>
    <w:charset w:val="00"/>
    <w:family w:val="roman"/>
    <w:pitch w:val="default"/>
    <w:sig w:usb0="E00002FF" w:usb1="400004FF" w:usb2="00000000" w:usb3="00000000" w:csb0="2000019F" w:csb1="00000000"/>
  </w:font>
  <w:font w:name="Courier New">
    <w:panose1 w:val="02070309020205020404"/>
    <w:charset w:val="00"/>
    <w:family w:val="modern"/>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1"/>
                            <w:rPr>
                              <w:rStyle w:val="48"/>
                            </w:rPr>
                          </w:pPr>
                          <w:r>
                            <w:fldChar w:fldCharType="begin"/>
                          </w:r>
                          <w:r>
                            <w:rPr>
                              <w:rStyle w:val="48"/>
                            </w:rPr>
                            <w:instrText xml:space="preserve">PAGE  </w:instrText>
                          </w:r>
                          <w:r>
                            <w:fldChar w:fldCharType="separate"/>
                          </w:r>
                          <w:r>
                            <w:rPr>
                              <w:rStyle w:val="48"/>
                              <w:lang/>
                            </w:rPr>
                            <w:t>8</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CMuZP/sQEA&#10;AE4DAAAOAAAAAAAAAAEAIAAAAB4BAABkcnMvZTJvRG9jLnhtbFBLBQYAAAAABgAGAFkBAABBBQAA&#10;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lang/>
                      </w:rPr>
                      <w:t>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2"/>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10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3,4"/>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MGQzNjc5ZGE1Mzg2NDBjZGFjOTRmNWIzN2I3NzM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2719B"/>
    <w:rsid w:val="01AF2C21"/>
    <w:rsid w:val="03012A46"/>
    <w:rsid w:val="035F6345"/>
    <w:rsid w:val="036C34DA"/>
    <w:rsid w:val="03D355F0"/>
    <w:rsid w:val="05011011"/>
    <w:rsid w:val="053E62C7"/>
    <w:rsid w:val="059C2D9F"/>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E735A"/>
    <w:rsid w:val="12A820AD"/>
    <w:rsid w:val="15737884"/>
    <w:rsid w:val="17D86D23"/>
    <w:rsid w:val="17F4775E"/>
    <w:rsid w:val="18AF15FD"/>
    <w:rsid w:val="19E94006"/>
    <w:rsid w:val="1BBF797C"/>
    <w:rsid w:val="1DE26149"/>
    <w:rsid w:val="1DEE2CCA"/>
    <w:rsid w:val="1EB92EF2"/>
    <w:rsid w:val="1FAB30E7"/>
    <w:rsid w:val="2037683E"/>
    <w:rsid w:val="20637B7A"/>
    <w:rsid w:val="21A61884"/>
    <w:rsid w:val="221D09FC"/>
    <w:rsid w:val="22F91AE6"/>
    <w:rsid w:val="24213C73"/>
    <w:rsid w:val="25590EC9"/>
    <w:rsid w:val="257F4BF0"/>
    <w:rsid w:val="25A13254"/>
    <w:rsid w:val="262F357C"/>
    <w:rsid w:val="26A26CEB"/>
    <w:rsid w:val="27235E7D"/>
    <w:rsid w:val="276F4E38"/>
    <w:rsid w:val="2834446C"/>
    <w:rsid w:val="29763528"/>
    <w:rsid w:val="299D4A4C"/>
    <w:rsid w:val="2A1902C2"/>
    <w:rsid w:val="2C6224E4"/>
    <w:rsid w:val="2C995D0F"/>
    <w:rsid w:val="2D3E7816"/>
    <w:rsid w:val="2F3E6548"/>
    <w:rsid w:val="2FF670DA"/>
    <w:rsid w:val="30D974B7"/>
    <w:rsid w:val="31E01407"/>
    <w:rsid w:val="325F16D7"/>
    <w:rsid w:val="333663C1"/>
    <w:rsid w:val="34375693"/>
    <w:rsid w:val="345F01FB"/>
    <w:rsid w:val="346848DB"/>
    <w:rsid w:val="351E319F"/>
    <w:rsid w:val="354F3A99"/>
    <w:rsid w:val="357B16F3"/>
    <w:rsid w:val="36050FAB"/>
    <w:rsid w:val="364A4B51"/>
    <w:rsid w:val="367176A6"/>
    <w:rsid w:val="36A24328"/>
    <w:rsid w:val="36DC6FE4"/>
    <w:rsid w:val="385E4AD7"/>
    <w:rsid w:val="3A3173ED"/>
    <w:rsid w:val="3B076549"/>
    <w:rsid w:val="3B82173E"/>
    <w:rsid w:val="3C5B75D3"/>
    <w:rsid w:val="3C7823C8"/>
    <w:rsid w:val="3CA42746"/>
    <w:rsid w:val="3DCC4487"/>
    <w:rsid w:val="3DE91E71"/>
    <w:rsid w:val="3E474521"/>
    <w:rsid w:val="3FF77603"/>
    <w:rsid w:val="413C763F"/>
    <w:rsid w:val="41B46B47"/>
    <w:rsid w:val="41DA5117"/>
    <w:rsid w:val="424B79E0"/>
    <w:rsid w:val="42FA2D1F"/>
    <w:rsid w:val="434963F7"/>
    <w:rsid w:val="436B2C00"/>
    <w:rsid w:val="439F612A"/>
    <w:rsid w:val="441344E9"/>
    <w:rsid w:val="44842956"/>
    <w:rsid w:val="44B922E9"/>
    <w:rsid w:val="45086E27"/>
    <w:rsid w:val="465E02D2"/>
    <w:rsid w:val="48FC1957"/>
    <w:rsid w:val="499D4ACB"/>
    <w:rsid w:val="4BC1413C"/>
    <w:rsid w:val="4C656785"/>
    <w:rsid w:val="4DFD24AF"/>
    <w:rsid w:val="4E822997"/>
    <w:rsid w:val="4ED20DFA"/>
    <w:rsid w:val="4F0F5DA2"/>
    <w:rsid w:val="4F397E6D"/>
    <w:rsid w:val="4FFE0E94"/>
    <w:rsid w:val="504C2BE7"/>
    <w:rsid w:val="51174B5C"/>
    <w:rsid w:val="51B50E5A"/>
    <w:rsid w:val="524D69C3"/>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60F035C2"/>
    <w:rsid w:val="623446C7"/>
    <w:rsid w:val="633441F6"/>
    <w:rsid w:val="6352429E"/>
    <w:rsid w:val="63E45615"/>
    <w:rsid w:val="645A1DAF"/>
    <w:rsid w:val="64940258"/>
    <w:rsid w:val="64940A1E"/>
    <w:rsid w:val="65A81147"/>
    <w:rsid w:val="69021DF3"/>
    <w:rsid w:val="69AD4D95"/>
    <w:rsid w:val="6A1720C7"/>
    <w:rsid w:val="6A315ABB"/>
    <w:rsid w:val="6A43654D"/>
    <w:rsid w:val="6A87598F"/>
    <w:rsid w:val="6E1970B9"/>
    <w:rsid w:val="6F763902"/>
    <w:rsid w:val="6FE30FB3"/>
    <w:rsid w:val="703849D5"/>
    <w:rsid w:val="711712EF"/>
    <w:rsid w:val="7180640A"/>
    <w:rsid w:val="71F35AC2"/>
    <w:rsid w:val="72B81640"/>
    <w:rsid w:val="72DA2E30"/>
    <w:rsid w:val="74B57A97"/>
    <w:rsid w:val="7574564B"/>
    <w:rsid w:val="77B14F43"/>
    <w:rsid w:val="792A1CCE"/>
    <w:rsid w:val="793439F5"/>
    <w:rsid w:val="796E3D99"/>
    <w:rsid w:val="7B8D7C88"/>
    <w:rsid w:val="7C252C88"/>
    <w:rsid w:val="7C764322"/>
    <w:rsid w:val="7D7773AC"/>
    <w:rsid w:val="7DCA16A4"/>
    <w:rsid w:val="7E6D0CC7"/>
    <w:rsid w:val="7E863C64"/>
    <w:rsid w:val="7EEF7FE1"/>
    <w:rsid w:val="7F67167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next w:val="1"/>
    <w:link w:val="151"/>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109"/>
    <w:qFormat/>
    <w:uiPriority w:val="0"/>
    <w:pPr>
      <w:keepNext/>
      <w:keepLines/>
      <w:spacing w:before="260" w:beforeLines="0" w:after="260" w:afterLines="0" w:line="415" w:lineRule="auto"/>
      <w:outlineLvl w:val="1"/>
    </w:pPr>
    <w:rPr>
      <w:rFonts w:ascii="Arial" w:hAnsi="Arial" w:eastAsia="黑体"/>
      <w:b/>
      <w:bCs/>
      <w:sz w:val="32"/>
      <w:szCs w:val="32"/>
    </w:rPr>
  </w:style>
  <w:style w:type="paragraph" w:styleId="4">
    <w:name w:val="heading 3"/>
    <w:basedOn w:val="1"/>
    <w:next w:val="1"/>
    <w:link w:val="131"/>
    <w:qFormat/>
    <w:uiPriority w:val="0"/>
    <w:pPr>
      <w:keepNext/>
      <w:keepLines/>
      <w:spacing w:before="260" w:beforeLines="0" w:after="260" w:afterLines="0" w:line="415" w:lineRule="auto"/>
      <w:outlineLvl w:val="2"/>
    </w:pPr>
    <w:rPr>
      <w:b/>
      <w:bCs/>
      <w:sz w:val="32"/>
      <w:szCs w:val="32"/>
    </w:rPr>
  </w:style>
  <w:style w:type="paragraph" w:styleId="5">
    <w:name w:val="heading 4"/>
    <w:basedOn w:val="1"/>
    <w:next w:val="1"/>
    <w:link w:val="129"/>
    <w:qFormat/>
    <w:uiPriority w:val="0"/>
    <w:pPr>
      <w:keepNext/>
      <w:keepLines/>
      <w:spacing w:before="280" w:beforeLines="0" w:after="290" w:afterLines="0" w:line="374" w:lineRule="auto"/>
      <w:outlineLvl w:val="3"/>
    </w:pPr>
    <w:rPr>
      <w:rFonts w:ascii="Arial" w:hAnsi="Arial" w:eastAsia="黑体"/>
      <w:b/>
      <w:bCs/>
      <w:sz w:val="28"/>
      <w:szCs w:val="28"/>
    </w:rPr>
  </w:style>
  <w:style w:type="paragraph" w:styleId="6">
    <w:name w:val="heading 5"/>
    <w:basedOn w:val="1"/>
    <w:next w:val="1"/>
    <w:link w:val="139"/>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14"/>
    <w:qFormat/>
    <w:uiPriority w:val="0"/>
    <w:pPr>
      <w:keepNext/>
      <w:keepLines/>
      <w:widowControl/>
      <w:tabs>
        <w:tab w:val="left" w:pos="1440"/>
      </w:tabs>
      <w:spacing w:before="240" w:beforeLines="0" w:after="64" w:afterLines="0" w:line="319" w:lineRule="auto"/>
      <w:ind w:left="1152" w:hanging="1152"/>
      <w:jc w:val="left"/>
      <w:outlineLvl w:val="5"/>
    </w:pPr>
    <w:rPr>
      <w:rFonts w:ascii="Arial" w:hAnsi="Arial" w:eastAsia="黑体"/>
      <w:b/>
      <w:bCs/>
      <w:kern w:val="0"/>
      <w:sz w:val="24"/>
    </w:rPr>
  </w:style>
  <w:style w:type="paragraph" w:styleId="8">
    <w:name w:val="heading 7"/>
    <w:basedOn w:val="1"/>
    <w:next w:val="1"/>
    <w:link w:val="143"/>
    <w:qFormat/>
    <w:uiPriority w:val="0"/>
    <w:pPr>
      <w:keepNext/>
      <w:keepLines/>
      <w:widowControl/>
      <w:tabs>
        <w:tab w:val="left" w:pos="2520"/>
      </w:tabs>
      <w:spacing w:before="240" w:beforeLines="0" w:after="64" w:afterLines="0" w:line="319" w:lineRule="auto"/>
      <w:ind w:left="1296" w:hanging="1296"/>
      <w:jc w:val="left"/>
      <w:outlineLvl w:val="6"/>
    </w:pPr>
    <w:rPr>
      <w:b/>
      <w:bCs/>
      <w:kern w:val="0"/>
      <w:sz w:val="24"/>
    </w:rPr>
  </w:style>
  <w:style w:type="paragraph" w:styleId="9">
    <w:name w:val="heading 8"/>
    <w:basedOn w:val="1"/>
    <w:next w:val="1"/>
    <w:link w:val="113"/>
    <w:qFormat/>
    <w:uiPriority w:val="0"/>
    <w:pPr>
      <w:keepNext/>
      <w:keepLines/>
      <w:widowControl/>
      <w:tabs>
        <w:tab w:val="left" w:pos="1440"/>
      </w:tabs>
      <w:spacing w:before="240" w:beforeLines="0" w:after="64" w:afterLines="0" w:line="319" w:lineRule="auto"/>
      <w:ind w:left="1440" w:hanging="1440"/>
      <w:jc w:val="left"/>
      <w:outlineLvl w:val="7"/>
    </w:pPr>
    <w:rPr>
      <w:rFonts w:ascii="Arial" w:hAnsi="Arial" w:eastAsia="黑体"/>
      <w:kern w:val="0"/>
      <w:sz w:val="24"/>
    </w:rPr>
  </w:style>
  <w:style w:type="paragraph" w:styleId="10">
    <w:name w:val="heading 9"/>
    <w:basedOn w:val="1"/>
    <w:next w:val="1"/>
    <w:link w:val="117"/>
    <w:qFormat/>
    <w:uiPriority w:val="0"/>
    <w:pPr>
      <w:keepNext/>
      <w:keepLines/>
      <w:widowControl/>
      <w:tabs>
        <w:tab w:val="left" w:pos="1584"/>
      </w:tabs>
      <w:spacing w:before="240" w:beforeLines="0" w:after="64" w:afterLines="0" w:line="319" w:lineRule="auto"/>
      <w:ind w:left="1584" w:hanging="1584"/>
      <w:jc w:val="left"/>
      <w:outlineLvl w:val="8"/>
    </w:pPr>
    <w:rPr>
      <w:rFonts w:ascii="Arial" w:hAnsi="Arial" w:eastAsia="黑体"/>
      <w:kern w:val="0"/>
      <w:szCs w:val="21"/>
    </w:rPr>
  </w:style>
  <w:style w:type="character" w:default="1" w:styleId="46">
    <w:name w:val="Default Paragraph Font"/>
    <w:uiPriority w:val="0"/>
  </w:style>
  <w:style w:type="table" w:default="1" w:styleId="54">
    <w:name w:val="Normal Table"/>
    <w:semiHidden/>
    <w:uiPriority w:val="0"/>
    <w:tblPr>
      <w:tblStyle w:val="54"/>
      <w:tblLayout w:type="fixed"/>
      <w:tblCellMar>
        <w:top w:w="0" w:type="dxa"/>
        <w:left w:w="108" w:type="dxa"/>
        <w:bottom w:w="0" w:type="dxa"/>
        <w:right w:w="108" w:type="dxa"/>
      </w:tblCellMar>
    </w:tblPr>
  </w:style>
  <w:style w:type="paragraph" w:styleId="11">
    <w:name w:val="annotation subject"/>
    <w:basedOn w:val="12"/>
    <w:next w:val="12"/>
    <w:uiPriority w:val="0"/>
    <w:rPr>
      <w:b/>
      <w:bCs/>
    </w:rPr>
  </w:style>
  <w:style w:type="paragraph" w:styleId="12">
    <w:name w:val="annotation text"/>
    <w:basedOn w:val="1"/>
    <w:link w:val="122"/>
    <w:uiPriority w:val="0"/>
    <w:pPr>
      <w:jc w:val="left"/>
    </w:pPr>
  </w:style>
  <w:style w:type="paragraph" w:styleId="13">
    <w:name w:val="toc 7"/>
    <w:basedOn w:val="1"/>
    <w:next w:val="1"/>
    <w:uiPriority w:val="0"/>
    <w:pPr>
      <w:ind w:left="1260"/>
      <w:jc w:val="left"/>
    </w:pPr>
    <w:rPr>
      <w:sz w:val="18"/>
      <w:szCs w:val="18"/>
    </w:rPr>
  </w:style>
  <w:style w:type="paragraph" w:styleId="14">
    <w:name w:val="Normal Indent"/>
    <w:basedOn w:val="1"/>
    <w:link w:val="137"/>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uiPriority w:val="0"/>
    <w:pPr>
      <w:tabs>
        <w:tab w:val="left" w:pos="845"/>
      </w:tabs>
      <w:spacing w:before="120" w:after="120" w:line="360" w:lineRule="auto"/>
      <w:ind w:left="845" w:hanging="425"/>
    </w:pPr>
    <w:rPr>
      <w:szCs w:val="20"/>
    </w:rPr>
  </w:style>
  <w:style w:type="paragraph" w:styleId="17">
    <w:name w:val="Document Map"/>
    <w:basedOn w:val="1"/>
    <w:link w:val="144"/>
    <w:uiPriority w:val="0"/>
    <w:pPr>
      <w:shd w:val="clear" w:color="auto" w:fill="000080"/>
    </w:pPr>
  </w:style>
  <w:style w:type="paragraph" w:styleId="18">
    <w:name w:val="Body Text 3"/>
    <w:basedOn w:val="1"/>
    <w:uiPriority w:val="0"/>
    <w:rPr>
      <w:rFonts w:ascii="宋体"/>
      <w:sz w:val="24"/>
      <w:szCs w:val="20"/>
    </w:rPr>
  </w:style>
  <w:style w:type="paragraph" w:styleId="19">
    <w:name w:val="Body Text"/>
    <w:basedOn w:val="20"/>
    <w:next w:val="20"/>
    <w:link w:val="118"/>
    <w:uiPriority w:val="0"/>
    <w:pPr>
      <w:spacing w:after="120" w:afterLines="0"/>
    </w:pPr>
    <w:rPr>
      <w:rFonts w:ascii="Times New Roman" w:cs="Times New Roman"/>
      <w:color w:val="auto"/>
      <w:kern w:val="2"/>
      <w:sz w:val="21"/>
    </w:rPr>
  </w:style>
  <w:style w:type="paragraph" w:customStyle="1" w:styleId="20">
    <w:name w:val="Default"/>
    <w:uiPriority w:val="0"/>
    <w:pPr>
      <w:widowControl w:val="0"/>
      <w:autoSpaceDE w:val="0"/>
      <w:autoSpaceDN w:val="0"/>
      <w:adjustRightInd w:val="0"/>
    </w:pPr>
    <w:rPr>
      <w:rFonts w:ascii="宋体" w:cs="宋体"/>
      <w:color w:val="000000"/>
      <w:sz w:val="24"/>
      <w:szCs w:val="24"/>
      <w:lang w:val="en-US" w:eastAsia="zh-CN" w:bidi="ar-SA"/>
    </w:rPr>
  </w:style>
  <w:style w:type="paragraph" w:styleId="21">
    <w:name w:val="Body Text Indent"/>
    <w:basedOn w:val="1"/>
    <w:uiPriority w:val="0"/>
    <w:pPr>
      <w:spacing w:after="120" w:afterLines="0"/>
      <w:ind w:left="420" w:leftChars="200"/>
    </w:pPr>
  </w:style>
  <w:style w:type="paragraph" w:styleId="22">
    <w:name w:val="Block Text"/>
    <w:basedOn w:val="1"/>
    <w:uiPriority w:val="0"/>
    <w:pPr>
      <w:adjustRightInd w:val="0"/>
      <w:ind w:left="420" w:right="33"/>
      <w:jc w:val="left"/>
    </w:pPr>
    <w:rPr>
      <w:kern w:val="0"/>
      <w:sz w:val="24"/>
      <w:szCs w:val="20"/>
    </w:rPr>
  </w:style>
  <w:style w:type="paragraph" w:styleId="23">
    <w:name w:val="index 4"/>
    <w:basedOn w:val="1"/>
    <w:next w:val="1"/>
    <w:uiPriority w:val="0"/>
    <w:pPr>
      <w:ind w:left="600" w:leftChars="600"/>
    </w:pPr>
  </w:style>
  <w:style w:type="paragraph" w:styleId="24">
    <w:name w:val="toc 5"/>
    <w:basedOn w:val="1"/>
    <w:next w:val="1"/>
    <w:uiPriority w:val="0"/>
    <w:pPr>
      <w:ind w:left="840"/>
      <w:jc w:val="left"/>
    </w:pPr>
    <w:rPr>
      <w:sz w:val="18"/>
      <w:szCs w:val="18"/>
    </w:rPr>
  </w:style>
  <w:style w:type="paragraph" w:styleId="25">
    <w:name w:val="toc 3"/>
    <w:basedOn w:val="1"/>
    <w:next w:val="1"/>
    <w:uiPriority w:val="0"/>
    <w:pPr>
      <w:ind w:left="420"/>
      <w:jc w:val="left"/>
    </w:pPr>
    <w:rPr>
      <w:i/>
      <w:iCs/>
      <w:sz w:val="20"/>
      <w:szCs w:val="20"/>
    </w:rPr>
  </w:style>
  <w:style w:type="paragraph" w:styleId="26">
    <w:name w:val="Plain Text"/>
    <w:basedOn w:val="1"/>
    <w:link w:val="130"/>
    <w:uiPriority w:val="0"/>
    <w:rPr>
      <w:rFonts w:ascii="Courier New" w:hAnsi="Courier New"/>
      <w:szCs w:val="20"/>
    </w:rPr>
  </w:style>
  <w:style w:type="paragraph" w:styleId="27">
    <w:name w:val="toc 8"/>
    <w:basedOn w:val="1"/>
    <w:next w:val="1"/>
    <w:uiPriority w:val="0"/>
    <w:pPr>
      <w:ind w:left="1470"/>
      <w:jc w:val="left"/>
    </w:pPr>
    <w:rPr>
      <w:sz w:val="18"/>
      <w:szCs w:val="18"/>
    </w:rPr>
  </w:style>
  <w:style w:type="paragraph" w:styleId="28">
    <w:name w:val="Date"/>
    <w:basedOn w:val="1"/>
    <w:next w:val="1"/>
    <w:uiPriority w:val="0"/>
    <w:rPr>
      <w:sz w:val="24"/>
      <w:szCs w:val="20"/>
    </w:rPr>
  </w:style>
  <w:style w:type="paragraph" w:styleId="29">
    <w:name w:val="Body Text Indent 2"/>
    <w:basedOn w:val="1"/>
    <w:uiPriority w:val="0"/>
    <w:pPr>
      <w:spacing w:after="120" w:line="480" w:lineRule="auto"/>
      <w:ind w:left="420" w:leftChars="200"/>
    </w:pPr>
  </w:style>
  <w:style w:type="paragraph" w:styleId="30">
    <w:name w:val="Balloon Text"/>
    <w:basedOn w:val="1"/>
    <w:uiPriority w:val="0"/>
    <w:rPr>
      <w:sz w:val="18"/>
      <w:szCs w:val="18"/>
    </w:rPr>
  </w:style>
  <w:style w:type="paragraph" w:styleId="31">
    <w:name w:val="footer"/>
    <w:basedOn w:val="1"/>
    <w:uiPriority w:val="0"/>
    <w:pPr>
      <w:tabs>
        <w:tab w:val="center" w:pos="4153"/>
        <w:tab w:val="right" w:pos="8306"/>
      </w:tabs>
      <w:snapToGrid w:val="0"/>
      <w:jc w:val="left"/>
    </w:pPr>
    <w:rPr>
      <w:sz w:val="18"/>
      <w:szCs w:val="18"/>
    </w:rPr>
  </w:style>
  <w:style w:type="paragraph" w:styleId="32">
    <w:name w:val="header"/>
    <w:basedOn w:val="1"/>
    <w:link w:val="148"/>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uiPriority w:val="0"/>
    <w:pPr>
      <w:spacing w:before="120" w:beforeLines="0" w:after="120" w:afterLines="0"/>
      <w:jc w:val="left"/>
    </w:pPr>
    <w:rPr>
      <w:b/>
      <w:bCs/>
      <w:caps/>
      <w:sz w:val="20"/>
      <w:szCs w:val="20"/>
    </w:rPr>
  </w:style>
  <w:style w:type="paragraph" w:styleId="34">
    <w:name w:val="toc 4"/>
    <w:basedOn w:val="1"/>
    <w:next w:val="1"/>
    <w:uiPriority w:val="0"/>
    <w:pPr>
      <w:ind w:left="630"/>
      <w:jc w:val="left"/>
    </w:pPr>
    <w:rPr>
      <w:sz w:val="18"/>
      <w:szCs w:val="18"/>
    </w:rPr>
  </w:style>
  <w:style w:type="paragraph" w:styleId="35">
    <w:name w:val="Subtitle"/>
    <w:basedOn w:val="1"/>
    <w:next w:val="1"/>
    <w:link w:val="116"/>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uiPriority w:val="0"/>
    <w:rPr>
      <w:sz w:val="20"/>
      <w:szCs w:val="20"/>
    </w:rPr>
  </w:style>
  <w:style w:type="paragraph" w:styleId="37">
    <w:name w:val="toc 6"/>
    <w:basedOn w:val="1"/>
    <w:next w:val="1"/>
    <w:uiPriority w:val="0"/>
    <w:pPr>
      <w:ind w:left="1050"/>
      <w:jc w:val="left"/>
    </w:pPr>
    <w:rPr>
      <w:sz w:val="18"/>
      <w:szCs w:val="18"/>
    </w:rPr>
  </w:style>
  <w:style w:type="paragraph" w:styleId="38">
    <w:name w:val="Body Text Indent 3"/>
    <w:basedOn w:val="1"/>
    <w:uiPriority w:val="0"/>
    <w:pPr>
      <w:spacing w:after="120" w:afterLines="0"/>
      <w:ind w:left="420" w:leftChars="200"/>
    </w:pPr>
    <w:rPr>
      <w:sz w:val="16"/>
      <w:szCs w:val="16"/>
    </w:rPr>
  </w:style>
  <w:style w:type="paragraph" w:styleId="39">
    <w:name w:val="table of figures"/>
    <w:basedOn w:val="1"/>
    <w:next w:val="1"/>
    <w:uiPriority w:val="0"/>
    <w:pPr>
      <w:ind w:leftChars="200" w:hanging="200" w:hangingChars="200"/>
    </w:pPr>
  </w:style>
  <w:style w:type="paragraph" w:styleId="40">
    <w:name w:val="toc 2"/>
    <w:basedOn w:val="1"/>
    <w:next w:val="1"/>
    <w:uiPriority w:val="0"/>
    <w:pPr>
      <w:ind w:left="210"/>
      <w:jc w:val="left"/>
    </w:pPr>
    <w:rPr>
      <w:smallCaps/>
      <w:sz w:val="20"/>
      <w:szCs w:val="20"/>
    </w:rPr>
  </w:style>
  <w:style w:type="paragraph" w:styleId="41">
    <w:name w:val="toc 9"/>
    <w:basedOn w:val="1"/>
    <w:next w:val="1"/>
    <w:uiPriority w:val="0"/>
    <w:pPr>
      <w:ind w:left="1680"/>
      <w:jc w:val="left"/>
    </w:pPr>
    <w:rPr>
      <w:sz w:val="18"/>
      <w:szCs w:val="18"/>
    </w:rPr>
  </w:style>
  <w:style w:type="paragraph" w:styleId="42">
    <w:name w:val="HTML Preformatted"/>
    <w:basedOn w:val="1"/>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uiPriority w:val="0"/>
    <w:pPr>
      <w:spacing w:line="480" w:lineRule="auto"/>
      <w:jc w:val="center"/>
    </w:pPr>
    <w:rPr>
      <w:sz w:val="32"/>
    </w:rPr>
  </w:style>
  <w:style w:type="paragraph" w:styleId="45">
    <w:name w:val="Title"/>
    <w:basedOn w:val="1"/>
    <w:qFormat/>
    <w:uiPriority w:val="0"/>
    <w:pPr>
      <w:adjustRightInd w:val="0"/>
      <w:spacing w:before="240" w:beforeLines="0" w:after="60" w:afterLines="0"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uiPriority w:val="0"/>
  </w:style>
  <w:style w:type="character" w:styleId="49">
    <w:name w:val="FollowedHyperlink"/>
    <w:uiPriority w:val="0"/>
    <w:rPr>
      <w:color w:val="000000"/>
      <w:u w:val="none"/>
    </w:rPr>
  </w:style>
  <w:style w:type="character" w:styleId="50">
    <w:name w:val="Emphasis"/>
    <w:qFormat/>
    <w:uiPriority w:val="0"/>
    <w:rPr>
      <w:i/>
      <w:iCs/>
    </w:rPr>
  </w:style>
  <w:style w:type="character" w:styleId="51">
    <w:name w:val="Hyperlink"/>
    <w:uiPriority w:val="0"/>
    <w:rPr>
      <w:color w:val="000000"/>
      <w:u w:val="none"/>
    </w:rPr>
  </w:style>
  <w:style w:type="character" w:styleId="52">
    <w:name w:val="annotation reference"/>
    <w:uiPriority w:val="0"/>
    <w:rPr>
      <w:sz w:val="21"/>
      <w:szCs w:val="21"/>
    </w:rPr>
  </w:style>
  <w:style w:type="character" w:styleId="53">
    <w:name w:val="footnote reference"/>
    <w:uiPriority w:val="0"/>
    <w:rPr>
      <w:vertAlign w:val="superscript"/>
    </w:rPr>
  </w:style>
  <w:style w:type="table" w:styleId="55">
    <w:name w:val="Table Grid"/>
    <w:basedOn w:val="54"/>
    <w:uiPriority w:val="0"/>
    <w:pPr>
      <w:widowControl w:val="0"/>
      <w:jc w:val="both"/>
    </w:pPr>
    <w:tblPr>
      <w:tblStyle w:val="54"/>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56">
    <w:name w:val="flNote"/>
    <w:basedOn w:val="1"/>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57">
    <w:name w:val="p0"/>
    <w:basedOn w:val="1"/>
    <w:uiPriority w:val="0"/>
    <w:pPr>
      <w:widowControl/>
    </w:pPr>
    <w:rPr>
      <w:kern w:val="0"/>
      <w:szCs w:val="21"/>
    </w:rPr>
  </w:style>
  <w:style w:type="paragraph" w:customStyle="1" w:styleId="58">
    <w:name w:val="表格"/>
    <w:basedOn w:val="1"/>
    <w:uiPriority w:val="0"/>
    <w:pPr>
      <w:jc w:val="center"/>
      <w:textAlignment w:val="center"/>
    </w:pPr>
    <w:rPr>
      <w:rFonts w:ascii="华文细黑" w:hAnsi="华文细黑"/>
      <w:kern w:val="0"/>
      <w:szCs w:val="20"/>
    </w:rPr>
  </w:style>
  <w:style w:type="paragraph" w:customStyle="1" w:styleId="59">
    <w:name w:val="样式 标题 31 + 宋体 黑色 左侧:  0 厘米 首行缩进:  0 厘米"/>
    <w:basedOn w:val="1"/>
    <w:uiPriority w:val="0"/>
    <w:pPr>
      <w:snapToGrid w:val="0"/>
      <w:spacing w:before="120" w:after="120" w:line="360" w:lineRule="auto"/>
      <w:jc w:val="left"/>
      <w:outlineLvl w:val="2"/>
    </w:pPr>
    <w:rPr>
      <w:rFonts w:ascii="宋体" w:hAnsi="宋体" w:cs="宋体"/>
      <w:color w:val="000000"/>
      <w:kern w:val="0"/>
      <w:szCs w:val="21"/>
    </w:rPr>
  </w:style>
  <w:style w:type="paragraph" w:customStyle="1" w:styleId="60">
    <w:name w:val="样式 标题 1标题 1XW + 黑色 两端对齐 段前: 6 磅 段后: 6 磅 行距: 最小值 22 磅"/>
    <w:basedOn w:val="2"/>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1">
    <w:name w:val="A2"/>
    <w:basedOn w:val="26"/>
    <w:uiPriority w:val="0"/>
    <w:pPr>
      <w:spacing w:line="300" w:lineRule="auto"/>
      <w:jc w:val="left"/>
    </w:pPr>
    <w:rPr>
      <w:rFonts w:ascii="黑体" w:eastAsia="黑体"/>
      <w:szCs w:val="21"/>
    </w:rPr>
  </w:style>
  <w:style w:type="paragraph" w:customStyle="1" w:styleId="62">
    <w:name w:val="Blockquote"/>
    <w:basedOn w:val="1"/>
    <w:uiPriority w:val="0"/>
    <w:pPr>
      <w:autoSpaceDE w:val="0"/>
      <w:autoSpaceDN w:val="0"/>
      <w:adjustRightInd w:val="0"/>
      <w:spacing w:before="100" w:after="100"/>
      <w:ind w:left="360" w:right="360"/>
      <w:jc w:val="left"/>
    </w:pPr>
    <w:rPr>
      <w:kern w:val="0"/>
      <w:sz w:val="24"/>
      <w:szCs w:val="20"/>
    </w:rPr>
  </w:style>
  <w:style w:type="paragraph" w:customStyle="1" w:styleId="63">
    <w:name w:val="目录文字"/>
    <w:basedOn w:val="1"/>
    <w:uiPriority w:val="0"/>
    <w:pPr>
      <w:widowControl/>
      <w:spacing w:line="480" w:lineRule="auto"/>
      <w:jc w:val="left"/>
    </w:pPr>
    <w:rPr>
      <w:rFonts w:hint="eastAsia" w:ascii="宋体" w:hAnsi="宋体"/>
      <w:kern w:val="0"/>
      <w:sz w:val="24"/>
      <w:szCs w:val="20"/>
    </w:rPr>
  </w:style>
  <w:style w:type="paragraph" w:customStyle="1" w:styleId="64">
    <w:name w:val="浅色底纹 - 强调文字颜色 21"/>
    <w:basedOn w:val="1"/>
    <w:next w:val="1"/>
    <w:link w:val="141"/>
    <w:qFormat/>
    <w:uiPriority w:val="0"/>
    <w:pPr>
      <w:pBdr>
        <w:bottom w:val="single" w:color="4F81BD" w:sz="4" w:space="4"/>
      </w:pBdr>
      <w:spacing w:before="200" w:after="280"/>
      <w:ind w:left="936" w:right="936"/>
    </w:pPr>
    <w:rPr>
      <w:b/>
      <w:bCs/>
      <w:i/>
      <w:iCs/>
      <w:color w:val="4F81BD"/>
      <w:szCs w:val="22"/>
    </w:rPr>
  </w:style>
  <w:style w:type="paragraph" w:customStyle="1" w:styleId="65">
    <w:name w:val="标题5"/>
    <w:basedOn w:val="4"/>
    <w:link w:val="124"/>
    <w:uiPriority w:val="0"/>
    <w:pPr>
      <w:spacing w:line="413" w:lineRule="auto"/>
    </w:pPr>
    <w:rPr>
      <w:rFonts w:ascii="Arial" w:hAnsi="Arial"/>
      <w:kern w:val="0"/>
      <w:sz w:val="24"/>
    </w:rPr>
  </w:style>
  <w:style w:type="paragraph" w:customStyle="1" w:styleId="66">
    <w:name w:val="彩色底纹 - 强调文字颜色 11"/>
    <w:uiPriority w:val="0"/>
    <w:rPr>
      <w:kern w:val="2"/>
      <w:sz w:val="21"/>
      <w:szCs w:val="24"/>
      <w:lang w:val="en-US" w:eastAsia="zh-CN" w:bidi="ar-SA"/>
    </w:rPr>
  </w:style>
  <w:style w:type="paragraph" w:customStyle="1" w:styleId="67">
    <w:name w:val="样式 标题 1 + 黑体 三号 非加粗 居中 段前: 6 磅 段后: 6 磅 行距: 固定值 20 磅"/>
    <w:basedOn w:val="2"/>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68">
    <w:name w:val="样式2"/>
    <w:basedOn w:val="4"/>
    <w:uiPriority w:val="0"/>
  </w:style>
  <w:style w:type="paragraph" w:customStyle="1" w:styleId="69">
    <w:name w:val="样式 标题 3 + (中文) 黑体 小四 非加粗 段前: 7.8 磅 段后: 0 磅 行距: 固定值 20 磅"/>
    <w:basedOn w:val="4"/>
    <w:uiPriority w:val="0"/>
    <w:pPr>
      <w:spacing w:before="0" w:beforeLines="0" w:after="0" w:afterLines="0" w:line="400" w:lineRule="exact"/>
    </w:pPr>
    <w:rPr>
      <w:rFonts w:eastAsia="黑体" w:cs="宋体"/>
      <w:b w:val="0"/>
      <w:bCs w:val="0"/>
      <w:sz w:val="24"/>
      <w:szCs w:val="20"/>
    </w:rPr>
  </w:style>
  <w:style w:type="paragraph" w:customStyle="1" w:styleId="70">
    <w:name w:val="菲页2"/>
    <w:basedOn w:val="4"/>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71">
    <w:name w:val="表格文字"/>
    <w:basedOn w:val="1"/>
    <w:uiPriority w:val="0"/>
    <w:pPr>
      <w:adjustRightInd w:val="0"/>
      <w:spacing w:line="420" w:lineRule="atLeast"/>
      <w:jc w:val="left"/>
      <w:textAlignment w:val="baseline"/>
    </w:pPr>
    <w:rPr>
      <w:kern w:val="0"/>
      <w:szCs w:val="20"/>
    </w:rPr>
  </w:style>
  <w:style w:type="paragraph" w:customStyle="1" w:styleId="72">
    <w:name w:val="A3"/>
    <w:basedOn w:val="73"/>
    <w:uiPriority w:val="0"/>
    <w:rPr>
      <w:sz w:val="21"/>
    </w:rPr>
  </w:style>
  <w:style w:type="paragraph" w:customStyle="1" w:styleId="73">
    <w:name w:val="A1"/>
    <w:basedOn w:val="26"/>
    <w:uiPriority w:val="0"/>
    <w:pPr>
      <w:spacing w:line="300" w:lineRule="auto"/>
      <w:jc w:val="center"/>
    </w:pPr>
    <w:rPr>
      <w:rFonts w:ascii="黑体" w:eastAsia="黑体"/>
      <w:sz w:val="52"/>
      <w:szCs w:val="21"/>
    </w:rPr>
  </w:style>
  <w:style w:type="paragraph" w:customStyle="1" w:styleId="74">
    <w:name w:val="6'"/>
    <w:basedOn w:val="1"/>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75">
    <w:name w:val="目录"/>
    <w:basedOn w:val="1"/>
    <w:uiPriority w:val="0"/>
    <w:pPr>
      <w:widowControl/>
      <w:jc w:val="center"/>
    </w:pPr>
    <w:rPr>
      <w:rFonts w:hint="eastAsia" w:ascii="宋体"/>
      <w:b/>
      <w:kern w:val="0"/>
      <w:sz w:val="36"/>
      <w:szCs w:val="20"/>
    </w:rPr>
  </w:style>
  <w:style w:type="paragraph" w:customStyle="1" w:styleId="76">
    <w:name w:val="默认段落字体 Para Char Char Char Char"/>
    <w:basedOn w:val="1"/>
    <w:uiPriority w:val="0"/>
  </w:style>
  <w:style w:type="paragraph" w:customStyle="1" w:styleId="77">
    <w:name w:val="正文小标题"/>
    <w:basedOn w:val="1"/>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8">
    <w:name w:val="Normal"/>
    <w:uiPriority w:val="0"/>
    <w:pPr>
      <w:widowControl w:val="0"/>
      <w:adjustRightInd w:val="0"/>
      <w:spacing w:line="312" w:lineRule="atLeast"/>
      <w:jc w:val="both"/>
    </w:pPr>
    <w:rPr>
      <w:rFonts w:hint="eastAsia" w:ascii="宋体"/>
      <w:sz w:val="34"/>
      <w:lang w:val="en-US" w:eastAsia="zh-CN" w:bidi="ar-SA"/>
    </w:rPr>
  </w:style>
  <w:style w:type="paragraph" w:customStyle="1" w:styleId="79">
    <w:name w:val="目录标题"/>
    <w:basedOn w:val="2"/>
    <w:next w:val="1"/>
    <w:qFormat/>
    <w:uiPriority w:val="0"/>
    <w:pPr>
      <w:outlineLvl w:val="9"/>
    </w:pPr>
    <w:rPr>
      <w:rFonts w:ascii="Calibri" w:hAnsi="Calibri"/>
    </w:rPr>
  </w:style>
  <w:style w:type="paragraph" w:customStyle="1" w:styleId="80">
    <w:name w:val="样式4"/>
    <w:basedOn w:val="4"/>
    <w:uiPriority w:val="0"/>
    <w:rPr>
      <w:rFonts w:eastAsia="Arial"/>
    </w:rPr>
  </w:style>
  <w:style w:type="paragraph" w:customStyle="1" w:styleId="81">
    <w:name w:val="样式 标题 2 + Times New Roman 四号 非加粗 段前: 5 磅 段后: 0 磅 行距: 固定值 20..."/>
    <w:basedOn w:val="3"/>
    <w:uiPriority w:val="0"/>
    <w:pPr>
      <w:spacing w:before="100" w:beforeLines="0" w:after="0" w:afterLines="0" w:line="400" w:lineRule="exact"/>
    </w:pPr>
    <w:rPr>
      <w:rFonts w:ascii="Times New Roman" w:hAnsi="Times New Roman" w:cs="宋体"/>
      <w:b w:val="0"/>
      <w:bCs w:val="0"/>
      <w:sz w:val="28"/>
      <w:szCs w:val="20"/>
    </w:rPr>
  </w:style>
  <w:style w:type="paragraph" w:customStyle="1" w:styleId="82">
    <w:name w:val="XW正文"/>
    <w:basedOn w:val="21"/>
    <w:uiPriority w:val="0"/>
    <w:pPr>
      <w:adjustRightInd w:val="0"/>
      <w:spacing w:after="0" w:line="300" w:lineRule="auto"/>
      <w:ind w:left="0" w:leftChars="0" w:firstLine="454"/>
      <w:textAlignment w:val="baseline"/>
    </w:pPr>
    <w:rPr>
      <w:szCs w:val="20"/>
    </w:rPr>
  </w:style>
  <w:style w:type="paragraph" w:customStyle="1" w:styleId="83">
    <w:name w:val="表内文字"/>
    <w:basedOn w:val="26"/>
    <w:uiPriority w:val="0"/>
    <w:pPr>
      <w:spacing w:before="40" w:after="40" w:line="300" w:lineRule="auto"/>
      <w:ind w:firstLine="525" w:firstLineChars="250"/>
    </w:pPr>
    <w:rPr>
      <w:rFonts w:ascii="Times New Roman" w:hAnsi="Times New Roman" w:eastAsia="仿宋_GB2312"/>
      <w:szCs w:val="21"/>
    </w:rPr>
  </w:style>
  <w:style w:type="paragraph" w:customStyle="1" w:styleId="84">
    <w:name w:val="表格标题"/>
    <w:basedOn w:val="1"/>
    <w:uiPriority w:val="0"/>
    <w:pPr>
      <w:tabs>
        <w:tab w:val="left" w:pos="2820"/>
      </w:tabs>
      <w:adjustRightInd w:val="0"/>
      <w:snapToGrid w:val="0"/>
      <w:spacing w:before="120" w:beforeLines="50" w:after="120" w:afterLines="50" w:line="300" w:lineRule="auto"/>
      <w:jc w:val="center"/>
    </w:pPr>
    <w:rPr>
      <w:rFonts w:ascii="仿宋_GB2312" w:hAnsi="宋体"/>
      <w:color w:val="000000"/>
      <w:kern w:val="0"/>
      <w:sz w:val="24"/>
    </w:rPr>
  </w:style>
  <w:style w:type="paragraph" w:customStyle="1" w:styleId="85">
    <w:name w:val="Char4"/>
    <w:basedOn w:val="1"/>
    <w:uiPriority w:val="0"/>
    <w:pPr>
      <w:spacing w:line="360" w:lineRule="auto"/>
      <w:ind w:firstLine="200" w:firstLineChars="200"/>
    </w:pPr>
    <w:rPr>
      <w:rFonts w:ascii="Arial" w:hAnsi="Arial" w:cs="Arial"/>
      <w:sz w:val="24"/>
    </w:rPr>
  </w:style>
  <w:style w:type="paragraph" w:customStyle="1" w:styleId="86">
    <w:name w:val="Char"/>
    <w:basedOn w:val="1"/>
    <w:uiPriority w:val="0"/>
  </w:style>
  <w:style w:type="paragraph" w:customStyle="1" w:styleId="87">
    <w:name w:val="xl26"/>
    <w:basedOn w:val="1"/>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88">
    <w:name w:val="空半行"/>
    <w:basedOn w:val="1"/>
    <w:uiPriority w:val="0"/>
    <w:pPr>
      <w:adjustRightInd w:val="0"/>
      <w:spacing w:line="120" w:lineRule="exact"/>
      <w:textAlignment w:val="baseline"/>
    </w:pPr>
    <w:rPr>
      <w:rFonts w:eastAsia="仿宋_GB2312"/>
      <w:color w:val="FFFFFF"/>
      <w:kern w:val="0"/>
      <w:sz w:val="30"/>
      <w:szCs w:val="20"/>
    </w:rPr>
  </w:style>
  <w:style w:type="paragraph" w:customStyle="1" w:styleId="89">
    <w:name w:val="样式"/>
    <w:uiPriority w:val="0"/>
    <w:pPr>
      <w:widowControl w:val="0"/>
      <w:autoSpaceDE w:val="0"/>
      <w:autoSpaceDN w:val="0"/>
      <w:adjustRightInd w:val="0"/>
    </w:pPr>
    <w:rPr>
      <w:rFonts w:ascii="宋体" w:hAnsi="宋体" w:cs="宋体"/>
      <w:sz w:val="24"/>
      <w:szCs w:val="24"/>
      <w:lang w:val="en-US" w:eastAsia="zh-CN" w:bidi="ar-SA"/>
    </w:rPr>
  </w:style>
  <w:style w:type="paragraph" w:customStyle="1" w:styleId="90">
    <w:name w:val="彩色网格 - 强调文字颜色 11"/>
    <w:basedOn w:val="1"/>
    <w:next w:val="1"/>
    <w:link w:val="150"/>
    <w:qFormat/>
    <w:uiPriority w:val="0"/>
    <w:rPr>
      <w:i/>
      <w:iCs/>
      <w:color w:val="000000"/>
      <w:szCs w:val="22"/>
    </w:rPr>
  </w:style>
  <w:style w:type="paragraph" w:customStyle="1" w:styleId="91">
    <w:name w:val="中等深浅网格 21"/>
    <w:qFormat/>
    <w:uiPriority w:val="0"/>
    <w:pPr>
      <w:widowControl w:val="0"/>
      <w:jc w:val="both"/>
    </w:pPr>
    <w:rPr>
      <w:kern w:val="2"/>
      <w:sz w:val="21"/>
      <w:szCs w:val="22"/>
      <w:lang w:val="en-US" w:eastAsia="zh-CN" w:bidi="ar-SA"/>
    </w:rPr>
  </w:style>
  <w:style w:type="paragraph" w:customStyle="1" w:styleId="92">
    <w:name w:val="xl49"/>
    <w:basedOn w:val="1"/>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3">
    <w:name w:val="Preformatted"/>
    <w:basedOn w:val="1"/>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94">
    <w:name w:val=" Char Char Char Char Char"/>
    <w:basedOn w:val="1"/>
    <w:uiPriority w:val="0"/>
    <w:pPr>
      <w:tabs>
        <w:tab w:val="left" w:pos="1360"/>
      </w:tabs>
      <w:ind w:left="1360" w:hanging="720"/>
    </w:pPr>
    <w:rPr>
      <w:szCs w:val="20"/>
    </w:rPr>
  </w:style>
  <w:style w:type="paragraph" w:customStyle="1" w:styleId="95">
    <w:name w:val=" Char"/>
    <w:basedOn w:val="1"/>
    <w:uiPriority w:val="0"/>
    <w:pPr>
      <w:tabs>
        <w:tab w:val="left" w:pos="360"/>
      </w:tabs>
    </w:pPr>
    <w:rPr>
      <w:sz w:val="24"/>
    </w:rPr>
  </w:style>
  <w:style w:type="paragraph" w:customStyle="1" w:styleId="96">
    <w:name w:val="1"/>
    <w:basedOn w:val="1"/>
    <w:next w:val="1"/>
    <w:uiPriority w:val="0"/>
  </w:style>
  <w:style w:type="paragraph" w:customStyle="1" w:styleId="97">
    <w:name w:val="标题4"/>
    <w:basedOn w:val="3"/>
    <w:next w:val="23"/>
    <w:link w:val="120"/>
    <w:uiPriority w:val="0"/>
    <w:pPr>
      <w:spacing w:line="413" w:lineRule="auto"/>
    </w:pPr>
    <w:rPr>
      <w:rFonts w:eastAsia="宋体"/>
      <w:kern w:val="0"/>
      <w:sz w:val="24"/>
    </w:rPr>
  </w:style>
  <w:style w:type="paragraph" w:customStyle="1" w:styleId="98">
    <w:name w:val="菲页(卷)"/>
    <w:basedOn w:val="2"/>
    <w:next w:val="78"/>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99">
    <w:name w:val="样式3"/>
    <w:basedOn w:val="4"/>
    <w:uiPriority w:val="0"/>
    <w:rPr>
      <w:rFonts w:eastAsia="Arial"/>
    </w:rPr>
  </w:style>
  <w:style w:type="paragraph" w:customStyle="1" w:styleId="100">
    <w:name w:val="彩色列表 - 强调文字颜色 11"/>
    <w:basedOn w:val="1"/>
    <w:qFormat/>
    <w:uiPriority w:val="0"/>
    <w:pPr>
      <w:ind w:firstLine="420" w:firstLineChars="200"/>
    </w:pPr>
    <w:rPr>
      <w:rFonts w:ascii="Calibri" w:hAnsi="Calibri"/>
      <w:szCs w:val="22"/>
    </w:rPr>
  </w:style>
  <w:style w:type="paragraph" w:customStyle="1" w:styleId="101">
    <w:name w:val="样式1"/>
    <w:basedOn w:val="4"/>
    <w:uiPriority w:val="0"/>
    <w:rPr>
      <w:rFonts w:eastAsia="Arial"/>
    </w:rPr>
  </w:style>
  <w:style w:type="paragraph" w:customStyle="1" w:styleId="102">
    <w:name w:val="XW编号正文"/>
    <w:basedOn w:val="82"/>
    <w:uiPriority w:val="0"/>
    <w:pPr>
      <w:numPr>
        <w:ilvl w:val="0"/>
        <w:numId w:val="1"/>
      </w:numPr>
      <w:tabs>
        <w:tab w:val="left" w:pos="1035"/>
        <w:tab w:val="left" w:pos="1134"/>
      </w:tabs>
      <w:ind w:left="1035" w:hanging="720"/>
      <w:jc w:val="left"/>
    </w:pPr>
  </w:style>
  <w:style w:type="paragraph" w:customStyle="1" w:styleId="103">
    <w:name w:val="菲页1"/>
    <w:basedOn w:val="3"/>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04">
    <w:name w:val="表头"/>
    <w:basedOn w:val="1"/>
    <w:uiPriority w:val="0"/>
    <w:pPr>
      <w:snapToGrid w:val="0"/>
      <w:spacing w:line="300" w:lineRule="auto"/>
      <w:ind w:right="420"/>
    </w:pPr>
    <w:rPr>
      <w:rFonts w:ascii="仿宋_GB2312"/>
      <w:kern w:val="0"/>
      <w:szCs w:val="21"/>
    </w:rPr>
  </w:style>
  <w:style w:type="character" w:styleId="105">
    <w:name w:val=""/>
    <w:qFormat/>
    <w:uiPriority w:val="0"/>
    <w:rPr>
      <w:b/>
      <w:bCs/>
      <w:smallCaps/>
      <w:color w:val="C0504D"/>
      <w:spacing w:val="5"/>
      <w:u w:val="single"/>
    </w:rPr>
  </w:style>
  <w:style w:type="character" w:styleId="106">
    <w:name w:val=""/>
    <w:qFormat/>
    <w:uiPriority w:val="0"/>
    <w:rPr>
      <w:b/>
      <w:bCs/>
      <w:i/>
      <w:iCs/>
      <w:color w:val="4F81BD"/>
    </w:rPr>
  </w:style>
  <w:style w:type="character" w:customStyle="1" w:styleId="107">
    <w:name w:val=" Char Char19"/>
    <w:uiPriority w:val="0"/>
    <w:rPr>
      <w:rFonts w:ascii="黑体" w:hAnsi="宋体" w:eastAsia="黑体"/>
      <w:sz w:val="52"/>
      <w:lang w:val="en-US" w:eastAsia="zh-CN" w:bidi="ar-SA"/>
    </w:rPr>
  </w:style>
  <w:style w:type="character" w:customStyle="1" w:styleId="108">
    <w:name w:val=" Char Char"/>
    <w:uiPriority w:val="0"/>
    <w:rPr>
      <w:rFonts w:ascii="Arial" w:hAnsi="Arial" w:eastAsia="黑体"/>
      <w:b/>
      <w:bCs/>
      <w:kern w:val="2"/>
      <w:sz w:val="32"/>
      <w:szCs w:val="32"/>
      <w:lang w:val="en-US" w:eastAsia="zh-CN" w:bidi="ar-SA"/>
    </w:rPr>
  </w:style>
  <w:style w:type="character" w:customStyle="1" w:styleId="109">
    <w:name w:val="标题 2 Char"/>
    <w:link w:val="3"/>
    <w:uiPriority w:val="0"/>
    <w:rPr>
      <w:rFonts w:ascii="Arial" w:hAnsi="Arial" w:eastAsia="黑体"/>
      <w:b/>
      <w:bCs/>
      <w:kern w:val="2"/>
      <w:sz w:val="32"/>
      <w:szCs w:val="32"/>
      <w:lang w:val="en-US" w:eastAsia="zh-CN" w:bidi="ar-SA"/>
    </w:rPr>
  </w:style>
  <w:style w:type="character" w:customStyle="1" w:styleId="110">
    <w:name w:val="批注主题 Char1"/>
    <w:uiPriority w:val="0"/>
    <w:rPr>
      <w:b/>
      <w:bCs/>
      <w:kern w:val="2"/>
      <w:sz w:val="21"/>
      <w:szCs w:val="22"/>
    </w:rPr>
  </w:style>
  <w:style w:type="character" w:customStyle="1" w:styleId="111">
    <w:name w:val="apple-converted-space"/>
    <w:uiPriority w:val="0"/>
  </w:style>
  <w:style w:type="character" w:customStyle="1" w:styleId="112">
    <w:name w:val="标题 4 Char"/>
    <w:uiPriority w:val="0"/>
    <w:rPr>
      <w:rFonts w:eastAsia="宋体"/>
      <w:sz w:val="21"/>
      <w:lang w:val="en-US" w:eastAsia="zh-CN" w:bidi="ar-SA"/>
    </w:rPr>
  </w:style>
  <w:style w:type="character" w:customStyle="1" w:styleId="113">
    <w:name w:val="标题 8 Char"/>
    <w:link w:val="9"/>
    <w:uiPriority w:val="0"/>
    <w:rPr>
      <w:rFonts w:ascii="Arial" w:hAnsi="Arial" w:eastAsia="黑体"/>
      <w:sz w:val="24"/>
      <w:szCs w:val="24"/>
      <w:lang w:val="en-US" w:eastAsia="zh-CN" w:bidi="ar-SA"/>
    </w:rPr>
  </w:style>
  <w:style w:type="character" w:customStyle="1" w:styleId="114">
    <w:name w:val="标题 6 Char"/>
    <w:link w:val="7"/>
    <w:uiPriority w:val="0"/>
    <w:rPr>
      <w:rFonts w:ascii="Arial" w:hAnsi="Arial" w:eastAsia="黑体"/>
      <w:b/>
      <w:bCs/>
      <w:sz w:val="24"/>
      <w:szCs w:val="24"/>
      <w:lang w:val="en-US" w:eastAsia="zh-CN" w:bidi="ar-SA"/>
    </w:rPr>
  </w:style>
  <w:style w:type="character" w:customStyle="1" w:styleId="115">
    <w:name w:val="4号宋体左齐行距1.5倍 Char"/>
    <w:aliases w:val="四号宋体左齐行距1.5倍 Char,标题 3XW Char Char"/>
    <w:uiPriority w:val="0"/>
    <w:rPr>
      <w:rFonts w:eastAsia="宋体"/>
      <w:b/>
      <w:sz w:val="32"/>
      <w:lang w:val="en-US" w:eastAsia="zh-CN" w:bidi="ar-SA"/>
    </w:rPr>
  </w:style>
  <w:style w:type="character" w:customStyle="1" w:styleId="116">
    <w:name w:val="副标题 Char"/>
    <w:link w:val="35"/>
    <w:uiPriority w:val="0"/>
    <w:rPr>
      <w:rFonts w:ascii="Arial" w:hAnsi="Arial" w:eastAsia="黑体"/>
      <w:b/>
      <w:bCs/>
      <w:kern w:val="2"/>
      <w:sz w:val="32"/>
      <w:szCs w:val="32"/>
      <w:lang w:val="en-US" w:eastAsia="zh-CN" w:bidi="ar-SA"/>
    </w:rPr>
  </w:style>
  <w:style w:type="character" w:customStyle="1" w:styleId="117">
    <w:name w:val="标题 9 Char"/>
    <w:link w:val="10"/>
    <w:uiPriority w:val="0"/>
    <w:rPr>
      <w:rFonts w:ascii="Arial" w:hAnsi="Arial" w:eastAsia="黑体"/>
      <w:sz w:val="21"/>
      <w:szCs w:val="21"/>
      <w:lang w:val="en-US" w:eastAsia="zh-CN" w:bidi="ar-SA"/>
    </w:rPr>
  </w:style>
  <w:style w:type="character" w:customStyle="1" w:styleId="118">
    <w:name w:val="正文文本 Char"/>
    <w:link w:val="19"/>
    <w:uiPriority w:val="0"/>
    <w:rPr>
      <w:rFonts w:eastAsia="宋体"/>
      <w:kern w:val="2"/>
      <w:sz w:val="21"/>
      <w:szCs w:val="24"/>
      <w:lang w:val="en-US" w:eastAsia="zh-CN" w:bidi="ar-SA"/>
    </w:rPr>
  </w:style>
  <w:style w:type="character" w:customStyle="1" w:styleId="119">
    <w:name w:val=" Char Char18"/>
    <w:uiPriority w:val="0"/>
    <w:rPr>
      <w:b/>
      <w:bCs/>
      <w:kern w:val="44"/>
      <w:sz w:val="44"/>
      <w:szCs w:val="44"/>
    </w:rPr>
  </w:style>
  <w:style w:type="character" w:customStyle="1" w:styleId="120">
    <w:name w:val="标题4 Char Char"/>
    <w:link w:val="97"/>
    <w:uiPriority w:val="0"/>
    <w:rPr>
      <w:rFonts w:ascii="Arial" w:hAnsi="Arial"/>
      <w:b/>
      <w:bCs/>
      <w:sz w:val="24"/>
      <w:szCs w:val="32"/>
      <w:lang w:bidi="ar-SA"/>
    </w:rPr>
  </w:style>
  <w:style w:type="character" w:customStyle="1" w:styleId="121">
    <w:name w:val="ask-title"/>
    <w:uiPriority w:val="0"/>
  </w:style>
  <w:style w:type="character" w:customStyle="1" w:styleId="122">
    <w:name w:val="批注文字 Char"/>
    <w:link w:val="12"/>
    <w:uiPriority w:val="0"/>
    <w:rPr>
      <w:rFonts w:eastAsia="宋体"/>
      <w:kern w:val="2"/>
      <w:sz w:val="21"/>
      <w:szCs w:val="24"/>
      <w:lang w:val="en-US" w:eastAsia="zh-CN" w:bidi="ar-SA"/>
    </w:rPr>
  </w:style>
  <w:style w:type="character" w:customStyle="1" w:styleId="123">
    <w:name w:val="日期 Char1"/>
    <w:uiPriority w:val="0"/>
    <w:rPr>
      <w:kern w:val="2"/>
      <w:sz w:val="21"/>
      <w:szCs w:val="22"/>
    </w:rPr>
  </w:style>
  <w:style w:type="character" w:customStyle="1" w:styleId="124">
    <w:name w:val="标题5 Char Char"/>
    <w:link w:val="65"/>
    <w:uiPriority w:val="0"/>
    <w:rPr>
      <w:rFonts w:ascii="Arial" w:hAnsi="Arial"/>
      <w:b/>
      <w:bCs/>
      <w:sz w:val="24"/>
      <w:szCs w:val="32"/>
      <w:lang w:bidi="ar-SA"/>
    </w:rPr>
  </w:style>
  <w:style w:type="character" w:customStyle="1" w:styleId="125">
    <w:name w:val="textcontents"/>
    <w:uiPriority w:val="0"/>
    <w:rPr>
      <w:rFonts w:cs="Times New Roman"/>
    </w:rPr>
  </w:style>
  <w:style w:type="character" w:customStyle="1" w:styleId="126">
    <w:name w:val="font11"/>
    <w:uiPriority w:val="0"/>
    <w:rPr>
      <w:rFonts w:hint="eastAsia" w:ascii="宋体" w:hAnsi="宋体" w:eastAsia="宋体" w:cs="宋体"/>
      <w:color w:val="000000"/>
      <w:sz w:val="20"/>
      <w:szCs w:val="20"/>
      <w:u w:val="none"/>
    </w:rPr>
  </w:style>
  <w:style w:type="character" w:styleId="127">
    <w:name w:val=""/>
    <w:qFormat/>
    <w:uiPriority w:val="0"/>
    <w:rPr>
      <w:smallCaps/>
      <w:color w:val="C0504D"/>
      <w:u w:val="single"/>
    </w:rPr>
  </w:style>
  <w:style w:type="character" w:customStyle="1" w:styleId="128">
    <w:name w:val=" Char Char2"/>
    <w:uiPriority w:val="0"/>
    <w:rPr>
      <w:rFonts w:eastAsia="宋体"/>
      <w:kern w:val="2"/>
      <w:sz w:val="21"/>
      <w:szCs w:val="24"/>
      <w:lang w:val="en-US" w:eastAsia="zh-CN" w:bidi="ar-SA"/>
    </w:rPr>
  </w:style>
  <w:style w:type="character" w:customStyle="1" w:styleId="129">
    <w:name w:val="标题 4 Char1"/>
    <w:link w:val="5"/>
    <w:uiPriority w:val="0"/>
    <w:rPr>
      <w:rFonts w:ascii="Arial" w:hAnsi="Arial" w:eastAsia="黑体"/>
      <w:b/>
      <w:bCs/>
      <w:kern w:val="2"/>
      <w:sz w:val="28"/>
      <w:szCs w:val="28"/>
      <w:lang w:val="en-US" w:eastAsia="zh-CN" w:bidi="ar-SA"/>
    </w:rPr>
  </w:style>
  <w:style w:type="character" w:customStyle="1" w:styleId="130">
    <w:name w:val="纯文本 Char"/>
    <w:link w:val="26"/>
    <w:uiPriority w:val="0"/>
    <w:rPr>
      <w:rFonts w:ascii="Courier New" w:hAnsi="Courier New" w:eastAsia="宋体"/>
      <w:kern w:val="2"/>
      <w:sz w:val="21"/>
      <w:lang w:val="en-US" w:eastAsia="zh-CN" w:bidi="ar-SA"/>
    </w:rPr>
  </w:style>
  <w:style w:type="character" w:customStyle="1" w:styleId="131">
    <w:name w:val="标题 3 Char"/>
    <w:link w:val="4"/>
    <w:uiPriority w:val="0"/>
    <w:rPr>
      <w:rFonts w:eastAsia="宋体"/>
      <w:b/>
      <w:bCs/>
      <w:kern w:val="2"/>
      <w:sz w:val="32"/>
      <w:szCs w:val="32"/>
      <w:lang w:val="en-US" w:eastAsia="zh-CN" w:bidi="ar-SA"/>
    </w:rPr>
  </w:style>
  <w:style w:type="character" w:customStyle="1" w:styleId="132">
    <w:name w:val="文档结构图 Char1"/>
    <w:uiPriority w:val="0"/>
    <w:rPr>
      <w:rFonts w:ascii="宋体"/>
      <w:kern w:val="2"/>
      <w:sz w:val="18"/>
      <w:szCs w:val="18"/>
    </w:rPr>
  </w:style>
  <w:style w:type="character" w:customStyle="1" w:styleId="133">
    <w:name w:val=" Char Char7"/>
    <w:uiPriority w:val="0"/>
    <w:rPr>
      <w:rFonts w:ascii="Arial" w:hAnsi="Arial" w:eastAsia="黑体"/>
      <w:b/>
      <w:bCs/>
      <w:kern w:val="2"/>
      <w:sz w:val="32"/>
      <w:szCs w:val="32"/>
      <w:lang w:val="en-US" w:eastAsia="zh-CN" w:bidi="ar-SA"/>
    </w:rPr>
  </w:style>
  <w:style w:type="character" w:customStyle="1" w:styleId="134">
    <w:name w:val="页脚 Char Char"/>
    <w:uiPriority w:val="0"/>
    <w:rPr>
      <w:rFonts w:eastAsia="宋体"/>
      <w:kern w:val="2"/>
      <w:sz w:val="18"/>
      <w:szCs w:val="18"/>
      <w:lang w:val="en-US" w:eastAsia="zh-CN" w:bidi="ar-SA"/>
    </w:rPr>
  </w:style>
  <w:style w:type="character" w:styleId="135">
    <w:name w:val=""/>
    <w:qFormat/>
    <w:uiPriority w:val="0"/>
    <w:rPr>
      <w:b/>
      <w:bCs/>
      <w:smallCaps/>
      <w:spacing w:val="5"/>
    </w:rPr>
  </w:style>
  <w:style w:type="character" w:customStyle="1" w:styleId="136">
    <w:name w:val="批注框文本 Char1"/>
    <w:uiPriority w:val="0"/>
    <w:rPr>
      <w:kern w:val="2"/>
      <w:sz w:val="18"/>
      <w:szCs w:val="18"/>
    </w:rPr>
  </w:style>
  <w:style w:type="character" w:customStyle="1" w:styleId="137">
    <w:name w:val="正文缩进 Char"/>
    <w:link w:val="14"/>
    <w:uiPriority w:val="0"/>
    <w:rPr>
      <w:rFonts w:eastAsia="宋体"/>
      <w:kern w:val="2"/>
      <w:sz w:val="21"/>
      <w:szCs w:val="24"/>
      <w:lang w:val="en-US" w:eastAsia="zh-CN" w:bidi="ar-SA"/>
    </w:rPr>
  </w:style>
  <w:style w:type="character" w:styleId="138">
    <w:name w:val=""/>
    <w:qFormat/>
    <w:uiPriority w:val="0"/>
    <w:rPr>
      <w:i/>
      <w:iCs/>
      <w:color w:val="808080"/>
    </w:rPr>
  </w:style>
  <w:style w:type="character" w:customStyle="1" w:styleId="139">
    <w:name w:val="标题 5 Char"/>
    <w:link w:val="6"/>
    <w:uiPriority w:val="0"/>
    <w:rPr>
      <w:rFonts w:ascii="Calibri" w:hAnsi="Calibri" w:eastAsia="宋体"/>
      <w:b/>
      <w:bCs/>
      <w:kern w:val="2"/>
      <w:sz w:val="28"/>
      <w:szCs w:val="28"/>
      <w:lang w:val="en-US" w:eastAsia="zh-CN" w:bidi="ar-SA"/>
    </w:rPr>
  </w:style>
  <w:style w:type="character" w:customStyle="1" w:styleId="140">
    <w:name w:val="批注文字 Char Char"/>
    <w:uiPriority w:val="0"/>
    <w:rPr>
      <w:rFonts w:ascii="宋体" w:hAnsi="Times New Roman" w:eastAsia="宋体" w:cs="Times New Roman"/>
      <w:sz w:val="28"/>
      <w:szCs w:val="20"/>
    </w:rPr>
  </w:style>
  <w:style w:type="character" w:customStyle="1" w:styleId="141">
    <w:name w:val="浅色底纹 - 强调文字颜色 2 Char"/>
    <w:link w:val="64"/>
    <w:uiPriority w:val="0"/>
    <w:rPr>
      <w:b/>
      <w:bCs/>
      <w:i/>
      <w:iCs/>
      <w:color w:val="4F81BD"/>
      <w:kern w:val="2"/>
      <w:sz w:val="21"/>
      <w:szCs w:val="22"/>
      <w:lang w:bidi="ar-SA"/>
    </w:rPr>
  </w:style>
  <w:style w:type="character" w:customStyle="1" w:styleId="142">
    <w:name w:val=" Char Char9"/>
    <w:uiPriority w:val="0"/>
    <w:rPr>
      <w:kern w:val="2"/>
      <w:sz w:val="21"/>
      <w:szCs w:val="22"/>
    </w:rPr>
  </w:style>
  <w:style w:type="character" w:customStyle="1" w:styleId="143">
    <w:name w:val="标题 7 Char"/>
    <w:link w:val="8"/>
    <w:uiPriority w:val="0"/>
    <w:rPr>
      <w:rFonts w:eastAsia="宋体"/>
      <w:b/>
      <w:bCs/>
      <w:sz w:val="24"/>
      <w:szCs w:val="24"/>
      <w:lang w:val="en-US" w:eastAsia="zh-CN" w:bidi="ar-SA"/>
    </w:rPr>
  </w:style>
  <w:style w:type="character" w:customStyle="1" w:styleId="144">
    <w:name w:val="文档结构图 Char"/>
    <w:link w:val="17"/>
    <w:uiPriority w:val="0"/>
    <w:rPr>
      <w:rFonts w:eastAsia="宋体"/>
      <w:kern w:val="2"/>
      <w:sz w:val="21"/>
      <w:szCs w:val="24"/>
      <w:lang w:val="en-US" w:eastAsia="zh-CN" w:bidi="ar-SA"/>
    </w:rPr>
  </w:style>
  <w:style w:type="character" w:customStyle="1" w:styleId="145">
    <w:name w:val="font161"/>
    <w:uiPriority w:val="0"/>
    <w:rPr>
      <w:b/>
      <w:bCs/>
      <w:sz w:val="32"/>
      <w:szCs w:val="32"/>
    </w:rPr>
  </w:style>
  <w:style w:type="character" w:customStyle="1" w:styleId="146">
    <w:name w:val="页眉 Char Char"/>
    <w:uiPriority w:val="0"/>
    <w:rPr>
      <w:rFonts w:eastAsia="宋体"/>
      <w:kern w:val="2"/>
      <w:sz w:val="18"/>
      <w:szCs w:val="18"/>
      <w:lang w:val="en-US" w:eastAsia="zh-CN" w:bidi="ar-SA"/>
    </w:rPr>
  </w:style>
  <w:style w:type="character" w:customStyle="1" w:styleId="147">
    <w:name w:val="Para head"/>
    <w:uiPriority w:val="0"/>
    <w:rPr>
      <w:rFonts w:ascii="Arial" w:hAnsi="Arial" w:eastAsia="Times New Roman"/>
      <w:sz w:val="20"/>
    </w:rPr>
  </w:style>
  <w:style w:type="character" w:customStyle="1" w:styleId="148">
    <w:name w:val="页眉 Char"/>
    <w:link w:val="32"/>
    <w:uiPriority w:val="0"/>
    <w:rPr>
      <w:rFonts w:eastAsia="宋体"/>
      <w:kern w:val="2"/>
      <w:sz w:val="18"/>
      <w:szCs w:val="18"/>
      <w:lang w:val="en-US" w:eastAsia="zh-CN" w:bidi="ar-SA"/>
    </w:rPr>
  </w:style>
  <w:style w:type="character" w:customStyle="1" w:styleId="149">
    <w:name w:val=" Char Char17"/>
    <w:uiPriority w:val="0"/>
    <w:rPr>
      <w:rFonts w:ascii="Cambria" w:hAnsi="Cambria" w:eastAsia="宋体" w:cs="Times New Roman"/>
      <w:b/>
      <w:bCs/>
      <w:kern w:val="2"/>
      <w:sz w:val="32"/>
      <w:szCs w:val="32"/>
    </w:rPr>
  </w:style>
  <w:style w:type="character" w:customStyle="1" w:styleId="150">
    <w:name w:val="彩色网格 - 强调文字颜色 1 Char"/>
    <w:link w:val="90"/>
    <w:uiPriority w:val="0"/>
    <w:rPr>
      <w:i/>
      <w:iCs/>
      <w:color w:val="000000"/>
      <w:kern w:val="2"/>
      <w:sz w:val="21"/>
      <w:szCs w:val="22"/>
      <w:lang w:bidi="ar-SA"/>
    </w:rPr>
  </w:style>
  <w:style w:type="character" w:customStyle="1" w:styleId="151">
    <w:name w:val="标题 1 Char"/>
    <w:link w:val="2"/>
    <w:uiPriority w:val="0"/>
    <w:rPr>
      <w:rFonts w:eastAsia="宋体"/>
      <w:b/>
      <w:bCs/>
      <w:kern w:val="44"/>
      <w:sz w:val="44"/>
      <w:szCs w:val="44"/>
      <w:lang w:val="en-US" w:eastAsia="zh-CN" w:bidi="ar-SA"/>
    </w:rPr>
  </w:style>
  <w:style w:type="character" w:customStyle="1" w:styleId="152">
    <w:name w:val="正文文本 Char1"/>
    <w:uiPriority w:val="0"/>
    <w:rPr>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17</Pages>
  <Words>4833</Words>
  <Characters>5278</Characters>
  <Lines>48</Lines>
  <Paragraphs>13</Paragraphs>
  <TotalTime>5</TotalTime>
  <ScaleCrop>false</ScaleCrop>
  <LinksUpToDate>false</LinksUpToDate>
  <CharactersWithSpaces>5401</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2022-09-09T07:41:00Z</cp:lastPrinted>
  <dcterms:modified xsi:type="dcterms:W3CDTF">2023-02-02T10:17:51Z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