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铜冠建安电控设备厂</w:t>
      </w:r>
      <w:r>
        <w:rPr>
          <w:rFonts w:hint="eastAsia" w:ascii="仿宋" w:hAnsi="仿宋" w:eastAsia="仿宋" w:cs="宋体"/>
          <w:b/>
          <w:bCs/>
          <w:sz w:val="44"/>
          <w:szCs w:val="44"/>
          <w:u w:val="single"/>
          <w:lang w:eastAsia="zh-CN"/>
        </w:rPr>
        <w:t>—</w:t>
      </w:r>
      <w:r>
        <w:rPr>
          <w:rFonts w:hint="eastAsia" w:ascii="仿宋" w:hAnsi="仿宋" w:eastAsia="仿宋" w:cs="宋体"/>
          <w:b/>
          <w:bCs/>
          <w:sz w:val="44"/>
          <w:szCs w:val="44"/>
          <w:u w:val="single"/>
          <w:lang w:val="en-US" w:eastAsia="zh-CN"/>
        </w:rPr>
        <w:t>动力厂及铜冠建安产业升级基地项目-控水控制装置及消防柜</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112</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lang w:val="en-US" w:eastAsia="zh-CN"/>
        </w:rPr>
        <w:t>汪嘉驹</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13339254925</w:t>
      </w:r>
      <w:r>
        <w:rPr>
          <w:rFonts w:hint="eastAsia" w:ascii="仿宋" w:hAnsi="仿宋" w:eastAsia="仿宋" w:cs="仿宋_GB2312"/>
          <w:b/>
          <w:bCs/>
          <w:sz w:val="32"/>
          <w:szCs w:val="32"/>
          <w:u w:val="single"/>
        </w:rPr>
        <w:t>）、阮景胜（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val="en-US" w:eastAsia="zh-CN"/>
        </w:rPr>
        <w:t>1.1包-控水控制装置；2.2包防爆操作柱，消防柜等</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日17:</w:t>
      </w:r>
      <w:r>
        <w:rPr>
          <w:rFonts w:hint="eastAsia" w:ascii="仿宋" w:hAnsi="仿宋" w:eastAsia="仿宋" w:cs="仿宋_GB2312"/>
          <w:sz w:val="28"/>
          <w:szCs w:val="28"/>
          <w:u w:val="single"/>
          <w:lang w:val="en-US" w:eastAsia="zh-CN"/>
        </w:rPr>
        <w:t>00</w:t>
      </w:r>
      <w:r>
        <w:rPr>
          <w:rFonts w:hint="eastAsia" w:ascii="仿宋" w:hAnsi="仿宋" w:eastAsia="仿宋" w:cs="仿宋_GB2312"/>
          <w:sz w:val="28"/>
          <w:szCs w:val="28"/>
          <w:u w:val="single"/>
        </w:rPr>
        <w:t>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铜陵市翠湖三路黄山大道879号三楼</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r>
        <w:rPr>
          <w:rFonts w:hint="eastAsia" w:ascii="仿宋" w:hAnsi="仿宋" w:eastAsia="仿宋" w:cs="仿宋_GB2312"/>
          <w:sz w:val="28"/>
          <w:szCs w:val="28"/>
          <w:u w:val="single"/>
          <w:lang w:val="en-US" w:eastAsia="zh-CN"/>
        </w:rPr>
        <w:tab/>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14:textFill>
            <w14:solidFill>
              <w14:schemeClr w14:val="tx1"/>
            </w14:solidFill>
          </w14:textFill>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jc w:val="both"/>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hint="default" w:ascii="仿宋" w:hAnsi="仿宋" w:eastAsia="仿宋"/>
          <w:b/>
          <w:sz w:val="28"/>
          <w:szCs w:val="28"/>
          <w:lang w:val="en-US" w:eastAsia="zh-CN"/>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112</w:t>
      </w:r>
      <w:bookmarkStart w:id="0" w:name="_GoBack"/>
      <w:bookmarkEnd w:id="0"/>
      <w:r>
        <w:rPr>
          <w:rFonts w:hint="eastAsia" w:ascii="仿宋" w:hAnsi="仿宋" w:eastAsia="仿宋"/>
          <w:b/>
          <w:sz w:val="28"/>
          <w:szCs w:val="28"/>
        </w:rPr>
        <w:t>）</w:t>
      </w:r>
      <w:r>
        <w:rPr>
          <w:rFonts w:hint="eastAsia" w:ascii="仿宋" w:hAnsi="仿宋" w:eastAsia="仿宋"/>
          <w:b/>
          <w:sz w:val="28"/>
          <w:szCs w:val="28"/>
          <w:lang w:val="en-US" w:eastAsia="zh-CN"/>
        </w:rPr>
        <w:t>-1包</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791"/>
        <w:gridCol w:w="760"/>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791" w:type="dxa"/>
            <w:vAlign w:val="center"/>
          </w:tcPr>
          <w:p>
            <w:pPr>
              <w:jc w:val="center"/>
              <w:rPr>
                <w:rFonts w:ascii="仿宋" w:hAnsi="仿宋" w:eastAsia="仿宋"/>
                <w:sz w:val="24"/>
              </w:rPr>
            </w:pPr>
            <w:r>
              <w:rPr>
                <w:rFonts w:hint="eastAsia" w:ascii="仿宋" w:hAnsi="仿宋" w:eastAsia="仿宋"/>
                <w:sz w:val="24"/>
              </w:rPr>
              <w:t>型号规格</w:t>
            </w:r>
          </w:p>
        </w:tc>
        <w:tc>
          <w:tcPr>
            <w:tcW w:w="760"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14:textFill>
                  <w14:solidFill>
                    <w14:schemeClr w14:val="tx1"/>
                  </w14:solidFill>
                </w14:textFill>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55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控水控制装置（成套）</w:t>
            </w:r>
          </w:p>
        </w:tc>
        <w:tc>
          <w:tcPr>
            <w:tcW w:w="479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具体见</w:t>
            </w:r>
            <w:r>
              <w:rPr>
                <w:rFonts w:hint="eastAsia" w:ascii="宋体" w:hAnsi="宋体" w:cs="宋体"/>
                <w:i w:val="0"/>
                <w:iCs w:val="0"/>
                <w:color w:val="000000"/>
                <w:kern w:val="2"/>
                <w:sz w:val="22"/>
                <w:szCs w:val="22"/>
                <w:u w:val="none"/>
                <w:lang w:val="en-US" w:eastAsia="zh-CN" w:bidi="ar-SA"/>
              </w:rPr>
              <w:t>动力水厂冬瓜山供水控制装置技术协议</w:t>
            </w:r>
          </w:p>
        </w:tc>
        <w:tc>
          <w:tcPr>
            <w:tcW w:w="760"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套</w:t>
            </w:r>
          </w:p>
        </w:tc>
        <w:tc>
          <w:tcPr>
            <w:tcW w:w="1281" w:type="dxa"/>
            <w:vAlign w:val="center"/>
          </w:tcPr>
          <w:p>
            <w:pPr>
              <w:jc w:val="center"/>
              <w:rPr>
                <w:rFonts w:hint="eastAsia" w:ascii="仿宋" w:hAnsi="仿宋" w:eastAsia="仿宋"/>
                <w:sz w:val="24"/>
              </w:rPr>
            </w:pPr>
            <w:r>
              <w:rPr>
                <w:rFonts w:hint="eastAsia" w:ascii="宋体" w:hAnsi="宋体" w:cs="宋体"/>
                <w:i w:val="0"/>
                <w:iCs w:val="0"/>
                <w:color w:val="000000"/>
                <w:kern w:val="2"/>
                <w:sz w:val="22"/>
                <w:szCs w:val="22"/>
                <w:u w:val="none"/>
                <w:lang w:val="en-US" w:eastAsia="zh-CN" w:bidi="ar-SA"/>
              </w:rPr>
              <w:t>1</w:t>
            </w:r>
          </w:p>
        </w:tc>
        <w:tc>
          <w:tcPr>
            <w:tcW w:w="1350" w:type="dxa"/>
            <w:vAlign w:val="center"/>
          </w:tcPr>
          <w:p>
            <w:pPr>
              <w:jc w:val="center"/>
              <w:rPr>
                <w:rFonts w:hint="eastAsia" w:ascii="仿宋" w:hAnsi="仿宋" w:eastAsia="仿宋"/>
                <w:bCs/>
                <w:sz w:val="24"/>
              </w:rPr>
            </w:pPr>
          </w:p>
        </w:tc>
        <w:tc>
          <w:tcPr>
            <w:tcW w:w="1119"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581" w:type="dxa"/>
            <w:vAlign w:val="center"/>
          </w:tcPr>
          <w:p>
            <w:pPr>
              <w:jc w:val="center"/>
              <w:rPr>
                <w:rFonts w:hint="eastAsia" w:ascii="仿宋" w:hAnsi="仿宋" w:eastAsia="仿宋"/>
                <w:bCs/>
                <w:sz w:val="24"/>
              </w:rPr>
            </w:pPr>
          </w:p>
        </w:tc>
        <w:tc>
          <w:tcPr>
            <w:tcW w:w="1308"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791"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760"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052"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3742"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052" w:type="dxa"/>
            <w:gridSpan w:val="3"/>
            <w:vMerge w:val="continue"/>
            <w:vAlign w:val="center"/>
          </w:tcPr>
          <w:p>
            <w:pPr>
              <w:rPr>
                <w:rFonts w:ascii="仿宋" w:hAnsi="仿宋" w:eastAsia="仿宋"/>
                <w:sz w:val="24"/>
              </w:rPr>
            </w:pPr>
          </w:p>
        </w:tc>
        <w:tc>
          <w:tcPr>
            <w:tcW w:w="2041"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8052" w:type="dxa"/>
            <w:gridSpan w:val="3"/>
            <w:vMerge w:val="continue"/>
            <w:vAlign w:val="center"/>
          </w:tcPr>
          <w:p>
            <w:pPr>
              <w:rPr>
                <w:rFonts w:ascii="仿宋" w:hAnsi="仿宋" w:eastAsia="仿宋"/>
                <w:sz w:val="24"/>
              </w:rPr>
            </w:pPr>
          </w:p>
        </w:tc>
        <w:tc>
          <w:tcPr>
            <w:tcW w:w="2041"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hint="default" w:ascii="仿宋" w:hAnsi="仿宋" w:eastAsia="仿宋"/>
          <w:b/>
          <w:sz w:val="28"/>
          <w:szCs w:val="28"/>
          <w:lang w:val="en-US" w:eastAsia="zh-CN"/>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112</w:t>
      </w:r>
      <w:r>
        <w:rPr>
          <w:rFonts w:hint="eastAsia" w:ascii="仿宋" w:hAnsi="仿宋" w:eastAsia="仿宋"/>
          <w:b/>
          <w:sz w:val="28"/>
          <w:szCs w:val="28"/>
        </w:rPr>
        <w:t>）</w:t>
      </w:r>
      <w:r>
        <w:rPr>
          <w:rFonts w:hint="eastAsia" w:ascii="仿宋" w:hAnsi="仿宋" w:eastAsia="仿宋"/>
          <w:b/>
          <w:sz w:val="28"/>
          <w:szCs w:val="28"/>
          <w:lang w:val="en-US" w:eastAsia="zh-CN"/>
        </w:rPr>
        <w:t>-2包</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87"/>
        <w:gridCol w:w="6108"/>
        <w:gridCol w:w="684"/>
        <w:gridCol w:w="876"/>
        <w:gridCol w:w="1272"/>
        <w:gridCol w:w="58"/>
        <w:gridCol w:w="1202"/>
        <w:gridCol w:w="1404"/>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087" w:type="dxa"/>
            <w:vAlign w:val="center"/>
          </w:tcPr>
          <w:p>
            <w:pPr>
              <w:jc w:val="center"/>
              <w:rPr>
                <w:rFonts w:ascii="仿宋" w:hAnsi="仿宋" w:eastAsia="仿宋"/>
                <w:sz w:val="24"/>
              </w:rPr>
            </w:pPr>
            <w:r>
              <w:rPr>
                <w:rFonts w:hint="eastAsia" w:ascii="仿宋" w:hAnsi="仿宋" w:eastAsia="仿宋"/>
                <w:sz w:val="24"/>
              </w:rPr>
              <w:t>物料名称</w:t>
            </w:r>
          </w:p>
        </w:tc>
        <w:tc>
          <w:tcPr>
            <w:tcW w:w="6108" w:type="dxa"/>
            <w:vAlign w:val="center"/>
          </w:tcPr>
          <w:p>
            <w:pPr>
              <w:jc w:val="center"/>
              <w:rPr>
                <w:rFonts w:ascii="仿宋" w:hAnsi="仿宋" w:eastAsia="仿宋"/>
                <w:sz w:val="24"/>
              </w:rPr>
            </w:pPr>
            <w:r>
              <w:rPr>
                <w:rFonts w:hint="eastAsia" w:ascii="仿宋" w:hAnsi="仿宋" w:eastAsia="仿宋"/>
                <w:sz w:val="24"/>
              </w:rPr>
              <w:t>型号规格</w:t>
            </w:r>
          </w:p>
        </w:tc>
        <w:tc>
          <w:tcPr>
            <w:tcW w:w="684" w:type="dxa"/>
            <w:vAlign w:val="center"/>
          </w:tcPr>
          <w:p>
            <w:pPr>
              <w:jc w:val="center"/>
              <w:rPr>
                <w:rFonts w:ascii="仿宋" w:hAnsi="仿宋" w:eastAsia="仿宋"/>
                <w:sz w:val="24"/>
              </w:rPr>
            </w:pPr>
            <w:r>
              <w:rPr>
                <w:rFonts w:hint="eastAsia" w:ascii="仿宋" w:hAnsi="仿宋" w:eastAsia="仿宋"/>
                <w:sz w:val="24"/>
              </w:rPr>
              <w:t>单位</w:t>
            </w:r>
          </w:p>
        </w:tc>
        <w:tc>
          <w:tcPr>
            <w:tcW w:w="876" w:type="dxa"/>
            <w:vAlign w:val="center"/>
          </w:tcPr>
          <w:p>
            <w:pPr>
              <w:jc w:val="center"/>
              <w:rPr>
                <w:rFonts w:ascii="仿宋" w:hAnsi="仿宋" w:eastAsia="仿宋"/>
                <w:sz w:val="24"/>
              </w:rPr>
            </w:pPr>
            <w:r>
              <w:rPr>
                <w:rFonts w:hint="eastAsia" w:ascii="仿宋" w:hAnsi="仿宋" w:eastAsia="仿宋"/>
                <w:sz w:val="24"/>
              </w:rPr>
              <w:t>数量</w:t>
            </w:r>
          </w:p>
        </w:tc>
        <w:tc>
          <w:tcPr>
            <w:tcW w:w="1272"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260"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14:textFill>
                  <w14:solidFill>
                    <w14:schemeClr w14:val="tx1"/>
                  </w14:solidFill>
                </w14:textFill>
              </w:rPr>
              <w:t>总价</w:t>
            </w:r>
            <w:r>
              <w:rPr>
                <w:rFonts w:hint="eastAsia" w:ascii="仿宋" w:hAnsi="仿宋" w:eastAsia="仿宋"/>
                <w:bCs/>
                <w:color w:val="FF0000"/>
                <w:sz w:val="24"/>
              </w:rPr>
              <w:t>＊</w:t>
            </w:r>
          </w:p>
        </w:tc>
        <w:tc>
          <w:tcPr>
            <w:tcW w:w="1404"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051"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087"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防爆操作柱</w:t>
            </w:r>
          </w:p>
        </w:tc>
        <w:tc>
          <w:tcPr>
            <w:tcW w:w="6108"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BLZ51-A2D2G</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套</w:t>
            </w:r>
          </w:p>
        </w:tc>
        <w:tc>
          <w:tcPr>
            <w:tcW w:w="876" w:type="dxa"/>
            <w:vAlign w:val="center"/>
          </w:tcPr>
          <w:p>
            <w:pPr>
              <w:jc w:val="center"/>
              <w:rPr>
                <w:rFonts w:hint="eastAsia" w:ascii="仿宋" w:hAnsi="仿宋" w:eastAsia="仿宋"/>
                <w:sz w:val="24"/>
              </w:rPr>
            </w:pPr>
            <w:r>
              <w:rPr>
                <w:rFonts w:hint="eastAsia" w:ascii="宋体" w:hAnsi="宋体" w:cs="宋体"/>
                <w:i w:val="0"/>
                <w:iCs w:val="0"/>
                <w:color w:val="000000"/>
                <w:kern w:val="2"/>
                <w:sz w:val="22"/>
                <w:szCs w:val="22"/>
                <w:u w:val="none"/>
                <w:lang w:val="en-US" w:eastAsia="zh-CN" w:bidi="ar-SA"/>
              </w:rPr>
              <w:t>1</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2087" w:type="dxa"/>
            <w:vAlign w:val="center"/>
          </w:tcPr>
          <w:p>
            <w:pPr>
              <w:keepNext w:val="0"/>
              <w:keepLines w:val="0"/>
              <w:widowControl/>
              <w:suppressLineNumbers w:val="0"/>
              <w:jc w:val="center"/>
              <w:textAlignment w:val="center"/>
              <w:rPr>
                <w:rFonts w:hint="eastAsia"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消防柜（成套）</w:t>
            </w:r>
          </w:p>
        </w:tc>
        <w:tc>
          <w:tcPr>
            <w:tcW w:w="61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 xml:space="preserve"> 双电源进线柜，防护等级 IP55，具体见建安搬迁项目-(消防泵房)电气图纸、技术规格书-(消防控制柜和馈线柜)</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台</w:t>
            </w:r>
          </w:p>
        </w:tc>
        <w:tc>
          <w:tcPr>
            <w:tcW w:w="876" w:type="dxa"/>
            <w:vAlign w:val="center"/>
          </w:tcPr>
          <w:p>
            <w:pPr>
              <w:jc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2087" w:type="dxa"/>
            <w:vAlign w:val="center"/>
          </w:tcPr>
          <w:p>
            <w:pPr>
              <w:keepNext w:val="0"/>
              <w:keepLines w:val="0"/>
              <w:widowControl/>
              <w:suppressLineNumbers w:val="0"/>
              <w:jc w:val="center"/>
              <w:textAlignment w:val="center"/>
              <w:rPr>
                <w:rFonts w:hint="eastAsia"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消防柜（成套）</w:t>
            </w:r>
          </w:p>
        </w:tc>
        <w:tc>
          <w:tcPr>
            <w:tcW w:w="61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馈线柜，防护等级 IP55，具体见建安搬迁项目-(消防泵房)电气图纸、技术规格书-(消防控制柜和馈线柜)</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台</w:t>
            </w:r>
          </w:p>
        </w:tc>
        <w:tc>
          <w:tcPr>
            <w:tcW w:w="876" w:type="dxa"/>
            <w:vAlign w:val="center"/>
          </w:tcPr>
          <w:p>
            <w:pPr>
              <w:jc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2087" w:type="dxa"/>
            <w:vAlign w:val="center"/>
          </w:tcPr>
          <w:p>
            <w:pPr>
              <w:keepNext w:val="0"/>
              <w:keepLines w:val="0"/>
              <w:widowControl/>
              <w:suppressLineNumbers w:val="0"/>
              <w:jc w:val="center"/>
              <w:textAlignment w:val="center"/>
              <w:rPr>
                <w:rFonts w:hint="eastAsia"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消防柜（成套）</w:t>
            </w:r>
          </w:p>
        </w:tc>
        <w:tc>
          <w:tcPr>
            <w:tcW w:w="61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馈线柜，防护等级 IP55，具体见建安搬迁项目-(消防泵房)电气图纸、技术规格书-(消防控制柜和馈线柜)</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台</w:t>
            </w:r>
          </w:p>
        </w:tc>
        <w:tc>
          <w:tcPr>
            <w:tcW w:w="876" w:type="dxa"/>
            <w:vAlign w:val="center"/>
          </w:tcPr>
          <w:p>
            <w:pPr>
              <w:jc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5</w:t>
            </w:r>
          </w:p>
        </w:tc>
        <w:tc>
          <w:tcPr>
            <w:tcW w:w="2087" w:type="dxa"/>
            <w:vAlign w:val="center"/>
          </w:tcPr>
          <w:p>
            <w:pPr>
              <w:keepNext w:val="0"/>
              <w:keepLines w:val="0"/>
              <w:widowControl/>
              <w:suppressLineNumbers w:val="0"/>
              <w:jc w:val="center"/>
              <w:textAlignment w:val="center"/>
              <w:rPr>
                <w:rFonts w:hint="eastAsia"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防爆电气控制箱(危化品仓库)</w:t>
            </w:r>
          </w:p>
        </w:tc>
        <w:tc>
          <w:tcPr>
            <w:tcW w:w="61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BXK51，防爆等级ExdIIBT6，箱体材质为 Q235A 钢板。箱体为壁挂式安装，户内使用，防护等级 IP65，下部留进出线口(数量按实际要求)，箱内配有电气安装板，箱体面板上配有：开关操作手柄，具体见建安四仓库电气图审</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台</w:t>
            </w:r>
          </w:p>
        </w:tc>
        <w:tc>
          <w:tcPr>
            <w:tcW w:w="876" w:type="dxa"/>
            <w:vAlign w:val="center"/>
          </w:tcPr>
          <w:p>
            <w:pPr>
              <w:jc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4</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6</w:t>
            </w:r>
          </w:p>
        </w:tc>
        <w:tc>
          <w:tcPr>
            <w:tcW w:w="2087" w:type="dxa"/>
            <w:vAlign w:val="center"/>
          </w:tcPr>
          <w:p>
            <w:pPr>
              <w:keepNext w:val="0"/>
              <w:keepLines w:val="0"/>
              <w:widowControl/>
              <w:suppressLineNumbers w:val="0"/>
              <w:jc w:val="center"/>
              <w:textAlignment w:val="center"/>
              <w:rPr>
                <w:rFonts w:hint="eastAsia"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防爆电气控制箱</w:t>
            </w:r>
          </w:p>
        </w:tc>
        <w:tc>
          <w:tcPr>
            <w:tcW w:w="610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BXK51，防爆等级ExdIIBT6，箱体材质为铸铝合金(隔爆和增安箱拼装)，壁挂式安装，户内使用，防护等级 IP65，下部留进出线口(1进 1 出)，1 路总开关。箱体面板上配有：所有开关的操作合闸手柄，具体见建安四仓库电气图审</w:t>
            </w:r>
          </w:p>
        </w:tc>
        <w:tc>
          <w:tcPr>
            <w:tcW w:w="684"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台</w:t>
            </w:r>
          </w:p>
        </w:tc>
        <w:tc>
          <w:tcPr>
            <w:tcW w:w="876" w:type="dxa"/>
            <w:vAlign w:val="center"/>
          </w:tcPr>
          <w:p>
            <w:pPr>
              <w:jc w:val="center"/>
              <w:rPr>
                <w:rFonts w:hint="default" w:ascii="宋体" w:hAnsi="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12</w:t>
            </w:r>
          </w:p>
        </w:tc>
        <w:tc>
          <w:tcPr>
            <w:tcW w:w="1272" w:type="dxa"/>
            <w:vAlign w:val="center"/>
          </w:tcPr>
          <w:p>
            <w:pPr>
              <w:jc w:val="center"/>
              <w:rPr>
                <w:rFonts w:hint="eastAsia" w:ascii="仿宋" w:hAnsi="仿宋" w:eastAsia="仿宋"/>
                <w:bCs/>
                <w:sz w:val="24"/>
              </w:rPr>
            </w:pPr>
          </w:p>
        </w:tc>
        <w:tc>
          <w:tcPr>
            <w:tcW w:w="1260" w:type="dxa"/>
            <w:gridSpan w:val="2"/>
            <w:vAlign w:val="center"/>
          </w:tcPr>
          <w:p>
            <w:pPr>
              <w:jc w:val="center"/>
              <w:rPr>
                <w:rFonts w:hint="eastAsia" w:ascii="仿宋" w:hAnsi="仿宋" w:eastAsia="仿宋"/>
                <w:bCs/>
                <w:color w:val="000000" w:themeColor="text1"/>
                <w:sz w:val="24"/>
                <w:lang w:val="en-US" w:eastAsia="zh-CN"/>
                <w14:textFill>
                  <w14:solidFill>
                    <w14:schemeClr w14:val="tx1"/>
                  </w14:solidFill>
                </w14:textFill>
              </w:rPr>
            </w:pPr>
          </w:p>
        </w:tc>
        <w:tc>
          <w:tcPr>
            <w:tcW w:w="1404" w:type="dxa"/>
            <w:vAlign w:val="center"/>
          </w:tcPr>
          <w:p>
            <w:pPr>
              <w:jc w:val="center"/>
              <w:rPr>
                <w:rFonts w:hint="eastAsia" w:ascii="仿宋" w:hAnsi="仿宋" w:eastAsia="仿宋"/>
                <w:bCs/>
                <w:sz w:val="24"/>
              </w:rPr>
            </w:pPr>
          </w:p>
        </w:tc>
        <w:tc>
          <w:tcPr>
            <w:tcW w:w="1051"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09" w:type="dxa"/>
            <w:vAlign w:val="center"/>
          </w:tcPr>
          <w:p>
            <w:pPr>
              <w:jc w:val="center"/>
              <w:rPr>
                <w:rFonts w:ascii="仿宋" w:hAnsi="仿宋" w:eastAsia="仿宋"/>
                <w:b/>
                <w:bCs/>
                <w:szCs w:val="21"/>
                <w:highlight w:val="yellow"/>
              </w:rPr>
            </w:pPr>
          </w:p>
        </w:tc>
        <w:tc>
          <w:tcPr>
            <w:tcW w:w="2087"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6108"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684"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876" w:type="dxa"/>
            <w:vAlign w:val="center"/>
          </w:tcPr>
          <w:p>
            <w:pPr>
              <w:jc w:val="center"/>
              <w:rPr>
                <w:rFonts w:ascii="仿宋" w:hAnsi="仿宋" w:eastAsia="仿宋" w:cs="仿宋"/>
                <w:b/>
                <w:bCs/>
                <w:szCs w:val="21"/>
                <w:highlight w:val="yellow"/>
              </w:rPr>
            </w:pPr>
          </w:p>
        </w:tc>
        <w:tc>
          <w:tcPr>
            <w:tcW w:w="1272" w:type="dxa"/>
            <w:vAlign w:val="center"/>
          </w:tcPr>
          <w:p>
            <w:pPr>
              <w:jc w:val="center"/>
              <w:rPr>
                <w:rFonts w:ascii="仿宋" w:hAnsi="仿宋" w:eastAsia="仿宋"/>
                <w:b/>
                <w:bCs/>
                <w:szCs w:val="21"/>
              </w:rPr>
            </w:pPr>
          </w:p>
        </w:tc>
        <w:tc>
          <w:tcPr>
            <w:tcW w:w="1260" w:type="dxa"/>
            <w:gridSpan w:val="2"/>
            <w:vAlign w:val="center"/>
          </w:tcPr>
          <w:p>
            <w:pPr>
              <w:jc w:val="center"/>
              <w:rPr>
                <w:rFonts w:ascii="仿宋" w:hAnsi="仿宋" w:eastAsia="仿宋"/>
                <w:b/>
                <w:bCs/>
                <w:szCs w:val="21"/>
              </w:rPr>
            </w:pPr>
          </w:p>
        </w:tc>
        <w:tc>
          <w:tcPr>
            <w:tcW w:w="1404" w:type="dxa"/>
            <w:vAlign w:val="center"/>
          </w:tcPr>
          <w:p>
            <w:pPr>
              <w:jc w:val="center"/>
              <w:rPr>
                <w:rFonts w:ascii="仿宋" w:hAnsi="仿宋" w:eastAsia="仿宋"/>
                <w:b/>
                <w:bCs/>
                <w:szCs w:val="21"/>
              </w:rPr>
            </w:pPr>
          </w:p>
        </w:tc>
        <w:tc>
          <w:tcPr>
            <w:tcW w:w="1051"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904"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2890"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904" w:type="dxa"/>
            <w:gridSpan w:val="3"/>
            <w:vMerge w:val="continue"/>
            <w:vAlign w:val="center"/>
          </w:tcPr>
          <w:p>
            <w:pPr>
              <w:rPr>
                <w:rFonts w:ascii="仿宋" w:hAnsi="仿宋" w:eastAsia="仿宋"/>
                <w:sz w:val="24"/>
              </w:rPr>
            </w:pPr>
          </w:p>
        </w:tc>
        <w:tc>
          <w:tcPr>
            <w:tcW w:w="156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330"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904" w:type="dxa"/>
            <w:gridSpan w:val="3"/>
            <w:vMerge w:val="continue"/>
            <w:vAlign w:val="center"/>
          </w:tcPr>
          <w:p>
            <w:pPr>
              <w:rPr>
                <w:rFonts w:ascii="仿宋" w:hAnsi="仿宋" w:eastAsia="仿宋"/>
                <w:sz w:val="24"/>
              </w:rPr>
            </w:pPr>
          </w:p>
        </w:tc>
        <w:tc>
          <w:tcPr>
            <w:tcW w:w="1560" w:type="dxa"/>
            <w:gridSpan w:val="2"/>
            <w:vMerge w:val="continue"/>
            <w:vAlign w:val="center"/>
          </w:tcPr>
          <w:p>
            <w:pPr>
              <w:jc w:val="center"/>
              <w:rPr>
                <w:rFonts w:ascii="仿宋" w:hAnsi="仿宋" w:eastAsia="仿宋"/>
                <w:sz w:val="24"/>
              </w:rPr>
            </w:pPr>
          </w:p>
        </w:tc>
        <w:tc>
          <w:tcPr>
            <w:tcW w:w="1330"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112</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pStyle w:val="2"/>
        <w:ind w:left="0" w:leftChars="0" w:firstLine="0" w:firstLineChars="0"/>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3MGIyZDM2Y2EzZjc5YWFkMGE0MDY5NjgwNjIwMGI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6F65B0B"/>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2BA68CE"/>
    <w:rsid w:val="17D86D23"/>
    <w:rsid w:val="17E51404"/>
    <w:rsid w:val="18200353"/>
    <w:rsid w:val="18582D0F"/>
    <w:rsid w:val="18665B7E"/>
    <w:rsid w:val="18AF15FD"/>
    <w:rsid w:val="196E3F2F"/>
    <w:rsid w:val="197A053B"/>
    <w:rsid w:val="19D977BD"/>
    <w:rsid w:val="1B59783C"/>
    <w:rsid w:val="1BB44FC0"/>
    <w:rsid w:val="1BBF797C"/>
    <w:rsid w:val="1DEE2CCA"/>
    <w:rsid w:val="1E021478"/>
    <w:rsid w:val="1FB3349A"/>
    <w:rsid w:val="2037683E"/>
    <w:rsid w:val="21084158"/>
    <w:rsid w:val="21385FFA"/>
    <w:rsid w:val="217A6EBF"/>
    <w:rsid w:val="21A606D7"/>
    <w:rsid w:val="22235530"/>
    <w:rsid w:val="223E7710"/>
    <w:rsid w:val="23037269"/>
    <w:rsid w:val="241E0AF1"/>
    <w:rsid w:val="246F478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817A8C"/>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4E4DCA"/>
    <w:rsid w:val="5B726C86"/>
    <w:rsid w:val="5BE9165E"/>
    <w:rsid w:val="5C1E1084"/>
    <w:rsid w:val="5D9408DF"/>
    <w:rsid w:val="5EDA5F53"/>
    <w:rsid w:val="5EE01EF7"/>
    <w:rsid w:val="5F57581B"/>
    <w:rsid w:val="5F76235B"/>
    <w:rsid w:val="5FAE5456"/>
    <w:rsid w:val="5FF13991"/>
    <w:rsid w:val="60F035C2"/>
    <w:rsid w:val="625A046D"/>
    <w:rsid w:val="630C0E11"/>
    <w:rsid w:val="631B786D"/>
    <w:rsid w:val="63BE0649"/>
    <w:rsid w:val="63E45615"/>
    <w:rsid w:val="6543236C"/>
    <w:rsid w:val="656D5704"/>
    <w:rsid w:val="659A148F"/>
    <w:rsid w:val="674D03B7"/>
    <w:rsid w:val="67A41EF7"/>
    <w:rsid w:val="694D7A00"/>
    <w:rsid w:val="69AD4D95"/>
    <w:rsid w:val="69B54174"/>
    <w:rsid w:val="6A315ABB"/>
    <w:rsid w:val="6A660AE8"/>
    <w:rsid w:val="6A87598F"/>
    <w:rsid w:val="6C55155E"/>
    <w:rsid w:val="6F127F28"/>
    <w:rsid w:val="6FE276E5"/>
    <w:rsid w:val="703849D5"/>
    <w:rsid w:val="711712EF"/>
    <w:rsid w:val="71AC19D1"/>
    <w:rsid w:val="729D1717"/>
    <w:rsid w:val="73CD0716"/>
    <w:rsid w:val="74B57A97"/>
    <w:rsid w:val="75352950"/>
    <w:rsid w:val="7541303A"/>
    <w:rsid w:val="77C81C4C"/>
    <w:rsid w:val="79136B09"/>
    <w:rsid w:val="793439F5"/>
    <w:rsid w:val="796E3D99"/>
    <w:rsid w:val="79744765"/>
    <w:rsid w:val="79ED6ADC"/>
    <w:rsid w:val="7B8D7C88"/>
    <w:rsid w:val="7BC01A8F"/>
    <w:rsid w:val="7C252C88"/>
    <w:rsid w:val="7D8162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4102</Words>
  <Characters>4560</Characters>
  <Lines>32</Lines>
  <Paragraphs>9</Paragraphs>
  <TotalTime>9</TotalTime>
  <ScaleCrop>false</ScaleCrop>
  <LinksUpToDate>false</LinksUpToDate>
  <CharactersWithSpaces>4650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Administrator</cp:lastModifiedBy>
  <cp:lastPrinted>2021-11-01T06:13:00Z</cp:lastPrinted>
  <dcterms:modified xsi:type="dcterms:W3CDTF">2022-12-16T07:16:03Z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00CD8A8A7AD047C1A2C4E95FC2532F3F</vt:lpwstr>
  </property>
</Properties>
</file>