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第二事业部安庆铜矿尾砂综合利用项目-商品混凝土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2-14</w:t>
      </w: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黄赟（18656211500）、贾杰（13965211845）</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ind w:firstLine="560" w:firstLineChars="200"/>
        <w:rPr>
          <w:rFonts w:hint="eastAsia"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（详见报价单）：约</w:t>
      </w:r>
      <w:r>
        <w:rPr>
          <w:rFonts w:hint="eastAsia" w:ascii="仿宋" w:hAnsi="仿宋" w:eastAsia="仿宋" w:cs="仿宋_GB2312"/>
          <w:sz w:val="28"/>
          <w:szCs w:val="28"/>
          <w:u w:val="single"/>
          <w:lang w:val="en-US" w:eastAsia="zh-CN"/>
        </w:rPr>
        <w:t>965</w:t>
      </w:r>
      <w:r>
        <w:rPr>
          <w:rFonts w:hint="eastAsia" w:ascii="仿宋" w:hAnsi="仿宋" w:eastAsia="仿宋" w:cs="仿宋_GB2312"/>
          <w:color w:val="000000" w:themeColor="text1"/>
          <w:sz w:val="28"/>
          <w:szCs w:val="28"/>
          <w:u w:val="single"/>
          <w14:textFill>
            <w14:solidFill>
              <w14:schemeClr w14:val="tx1"/>
            </w14:solidFill>
          </w14:textFill>
        </w:rPr>
        <w:t>m</w:t>
      </w:r>
      <w:r>
        <w:rPr>
          <w:rFonts w:ascii="宋体" w:hAnsi="宋体" w:cs="宋体"/>
          <w:color w:val="000000" w:themeColor="text1"/>
          <w:sz w:val="28"/>
          <w:szCs w:val="28"/>
          <w:u w:val="single"/>
          <w14:textFill>
            <w14:solidFill>
              <w14:schemeClr w14:val="tx1"/>
            </w14:solidFill>
          </w14:textFill>
        </w:rPr>
        <w:t>³</w:t>
      </w:r>
      <w:r>
        <w:rPr>
          <w:rFonts w:hint="eastAsia" w:ascii="仿宋" w:hAnsi="仿宋" w:eastAsia="仿宋" w:cs="仿宋_GB2312"/>
          <w:sz w:val="28"/>
          <w:szCs w:val="28"/>
          <w:u w:val="single"/>
        </w:rPr>
        <w:t xml:space="preserve">商品混凝土 </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hint="eastAsia"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_GB2312" w:hAnsi="宋体" w:eastAsia="仿宋_GB2312" w:cs="仿宋_GB2312"/>
          <w:b/>
          <w:sz w:val="36"/>
          <w:szCs w:val="36"/>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年</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贾杰（13965211845）</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w:t>
      </w:r>
      <w:r>
        <w:rPr>
          <w:rFonts w:hint="eastAsia" w:ascii="仿宋_GB2312" w:hAnsi="仿宋_GB2312" w:eastAsia="仿宋_GB2312" w:cs="仿宋_GB2312"/>
          <w:sz w:val="28"/>
          <w:szCs w:val="28"/>
          <w:u w:val="single"/>
          <w:lang w:val="en-US" w:eastAsia="zh-CN"/>
        </w:rPr>
        <w:t>5</w:t>
      </w:r>
      <w:r>
        <w:rPr>
          <w:rFonts w:hint="eastAsia" w:ascii="仿宋_GB2312" w:hAnsi="仿宋_GB2312" w:eastAsia="仿宋_GB2312" w:cs="仿宋_GB2312"/>
          <w:sz w:val="28"/>
          <w:szCs w:val="28"/>
          <w:u w:val="single"/>
        </w:rPr>
        <w:t>0000元人民币作为履约保证金。中标人如未能有效履行合同，如发生质量问题、工期延误、方量不实、安全事故等情况（包括但不限于以上情况）将全额扣除履约保证金。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rPr>
      </w:pPr>
      <w:r>
        <w:rPr>
          <w:rFonts w:hint="eastAsia" w:ascii="仿宋" w:hAnsi="仿宋" w:eastAsia="仿宋" w:cs="仿宋_GB2312"/>
          <w:sz w:val="28"/>
          <w:szCs w:val="28"/>
          <w:u w:val="single"/>
        </w:rPr>
        <w:t>按月结算（</w:t>
      </w:r>
      <w:r>
        <w:rPr>
          <w:rFonts w:hint="eastAsia" w:ascii="仿宋" w:hAnsi="仿宋" w:eastAsia="仿宋" w:cs="仿宋_GB2312"/>
          <w:sz w:val="28"/>
          <w:szCs w:val="28"/>
          <w:u w:val="single"/>
          <w:lang w:eastAsia="zh-CN"/>
        </w:rPr>
        <w:t>安庆市怀宁县</w:t>
      </w:r>
      <w:r>
        <w:rPr>
          <w:rFonts w:hint="eastAsia" w:ascii="仿宋" w:hAnsi="仿宋" w:eastAsia="仿宋" w:cs="仿宋_GB2312"/>
          <w:sz w:val="28"/>
          <w:szCs w:val="28"/>
          <w:u w:val="single"/>
        </w:rPr>
        <w:t>信息价出来后开具上月发票入账，次月支付，每月付进账额度70%），其余货款工程竣工后当年付清。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本次报价按</w:t>
      </w:r>
      <w:r>
        <w:rPr>
          <w:rFonts w:hint="eastAsia" w:ascii="仿宋" w:hAnsi="仿宋" w:eastAsia="仿宋" w:cs="仿宋_GB2312"/>
          <w:sz w:val="28"/>
          <w:szCs w:val="28"/>
          <w:u w:val="single"/>
          <w:lang w:eastAsia="zh-CN"/>
        </w:rPr>
        <w:t>安庆市怀宁县</w:t>
      </w:r>
      <w:r>
        <w:rPr>
          <w:rFonts w:hint="eastAsia" w:ascii="仿宋" w:hAnsi="仿宋" w:eastAsia="仿宋" w:cs="仿宋_GB2312"/>
          <w:sz w:val="28"/>
          <w:szCs w:val="28"/>
          <w:u w:val="single"/>
        </w:rPr>
        <w:t>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材料送至</w:t>
      </w:r>
      <w:r>
        <w:rPr>
          <w:rFonts w:hint="eastAsia" w:ascii="仿宋" w:hAnsi="仿宋" w:eastAsia="仿宋" w:cs="仿宋_GB2312"/>
          <w:sz w:val="28"/>
          <w:szCs w:val="28"/>
          <w:u w:val="single"/>
          <w:lang w:eastAsia="zh-CN"/>
        </w:rPr>
        <w:t>安庆铜矿尾砂综合利用项目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spacing w:line="312" w:lineRule="auto"/>
        <w:rPr>
          <w:rFonts w:ascii="仿宋_GB2312" w:hAnsi="仿宋_GB2312" w:eastAsia="仿宋_GB2312" w:cs="仿宋_GB2312"/>
          <w:color w:val="FF0000"/>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的损失应由招标人承担。招标人每批次需用混凝土时,必须提前一天用书面订单、传真或电话通知中标人</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color w:val="000000" w:themeColor="text1"/>
          <w:sz w:val="28"/>
          <w:szCs w:val="28"/>
          <w:u w:val="single"/>
          <w14:textFill>
            <w14:solidFill>
              <w14:schemeClr w14:val="tx1"/>
            </w14:solidFill>
          </w14:textFill>
        </w:rPr>
        <w:t>中标人如有特殊原因预计无法按照招标人要求供货的需提前通知招标人，并征得招标人同意。如未征得招标人同意，视为延期交货。中标人每延期一天需向招标人支付合同总金额的百分之一作为违约金。中标人供货不足及提供不合格的货物，均视同延期交货。延期超过7天的，招标人</w:t>
      </w:r>
      <w:r>
        <w:rPr>
          <w:rFonts w:hint="eastAsia" w:ascii="仿宋_GB2312" w:hAnsi="仿宋_GB2312" w:eastAsia="仿宋_GB2312" w:cs="仿宋_GB2312"/>
          <w:sz w:val="28"/>
          <w:szCs w:val="28"/>
          <w:u w:val="single"/>
        </w:rPr>
        <w:t>有权单方解除合同。招标人保留对已浇铸完工混凝土构件方量进行复核的权利，如偏差大于5%，双方需进行复核。如确定为投标人责任，则扣除超出部分的方量。</w:t>
      </w:r>
    </w:p>
    <w:p>
      <w:pPr>
        <w:numPr>
          <w:ilvl w:val="0"/>
          <w:numId w:val="2"/>
        </w:numPr>
        <w:ind w:firstLine="568" w:firstLineChars="202"/>
        <w:rPr>
          <w:rFonts w:hint="eastAsia" w:ascii="仿宋" w:hAnsi="仿宋" w:eastAsia="仿宋" w:cs="仿宋_GB2312"/>
          <w:b/>
          <w:bCs/>
          <w:sz w:val="28"/>
          <w:szCs w:val="28"/>
        </w:rPr>
      </w:pPr>
      <w:r>
        <w:rPr>
          <w:rFonts w:hint="eastAsia" w:ascii="仿宋" w:hAnsi="仿宋" w:eastAsia="仿宋" w:cs="仿宋_GB2312"/>
          <w:b/>
          <w:bCs/>
          <w:sz w:val="28"/>
          <w:szCs w:val="28"/>
        </w:rPr>
        <w:t>供货时间为202</w:t>
      </w:r>
      <w:r>
        <w:rPr>
          <w:rFonts w:hint="eastAsia" w:ascii="仿宋" w:hAnsi="仿宋" w:eastAsia="仿宋" w:cs="仿宋_GB2312"/>
          <w:b/>
          <w:bCs/>
          <w:sz w:val="28"/>
          <w:szCs w:val="28"/>
          <w:lang w:val="en-US" w:eastAsia="zh-CN"/>
        </w:rPr>
        <w:t>2</w:t>
      </w:r>
      <w:r>
        <w:rPr>
          <w:rFonts w:hint="eastAsia" w:ascii="仿宋" w:hAnsi="仿宋" w:eastAsia="仿宋" w:cs="仿宋_GB2312"/>
          <w:b/>
          <w:bCs/>
          <w:sz w:val="28"/>
          <w:szCs w:val="28"/>
        </w:rPr>
        <w:t>年</w:t>
      </w:r>
      <w:r>
        <w:rPr>
          <w:rFonts w:hint="eastAsia" w:ascii="仿宋" w:hAnsi="仿宋" w:eastAsia="仿宋" w:cs="仿宋_GB2312"/>
          <w:b/>
          <w:bCs/>
          <w:sz w:val="28"/>
          <w:szCs w:val="28"/>
          <w:lang w:val="en-US" w:eastAsia="zh-CN"/>
        </w:rPr>
        <w:t>3</w:t>
      </w:r>
      <w:r>
        <w:rPr>
          <w:rFonts w:hint="eastAsia" w:ascii="仿宋" w:hAnsi="仿宋" w:eastAsia="仿宋" w:cs="仿宋_GB2312"/>
          <w:b/>
          <w:bCs/>
          <w:sz w:val="28"/>
          <w:szCs w:val="28"/>
        </w:rPr>
        <w:t>月</w:t>
      </w:r>
      <w:r>
        <w:rPr>
          <w:rFonts w:hint="eastAsia" w:ascii="仿宋" w:hAnsi="仿宋" w:eastAsia="仿宋" w:cs="仿宋_GB2312"/>
          <w:b/>
          <w:bCs/>
          <w:sz w:val="28"/>
          <w:szCs w:val="28"/>
          <w:lang w:val="en-US" w:eastAsia="zh-CN"/>
        </w:rPr>
        <w:t>20</w:t>
      </w:r>
      <w:r>
        <w:rPr>
          <w:rFonts w:hint="eastAsia" w:ascii="仿宋" w:hAnsi="仿宋" w:eastAsia="仿宋" w:cs="仿宋_GB2312"/>
          <w:b/>
          <w:bCs/>
          <w:sz w:val="28"/>
          <w:szCs w:val="28"/>
        </w:rPr>
        <w:t>日至202</w:t>
      </w:r>
      <w:r>
        <w:rPr>
          <w:rFonts w:hint="eastAsia" w:ascii="仿宋" w:hAnsi="仿宋" w:eastAsia="仿宋" w:cs="仿宋_GB2312"/>
          <w:b/>
          <w:bCs/>
          <w:sz w:val="28"/>
          <w:szCs w:val="28"/>
          <w:lang w:val="en-US" w:eastAsia="zh-CN"/>
        </w:rPr>
        <w:t>2</w:t>
      </w:r>
      <w:r>
        <w:rPr>
          <w:rFonts w:hint="eastAsia" w:ascii="仿宋" w:hAnsi="仿宋" w:eastAsia="仿宋" w:cs="仿宋_GB2312"/>
          <w:b/>
          <w:bCs/>
          <w:sz w:val="28"/>
          <w:szCs w:val="28"/>
        </w:rPr>
        <w:t>年</w:t>
      </w:r>
      <w:r>
        <w:rPr>
          <w:rFonts w:hint="eastAsia" w:ascii="仿宋" w:hAnsi="仿宋" w:eastAsia="仿宋" w:cs="仿宋_GB2312"/>
          <w:b/>
          <w:bCs/>
          <w:sz w:val="28"/>
          <w:szCs w:val="28"/>
          <w:lang w:val="en-US" w:eastAsia="zh-CN"/>
        </w:rPr>
        <w:t>8</w:t>
      </w:r>
      <w:r>
        <w:rPr>
          <w:rFonts w:hint="eastAsia" w:ascii="仿宋" w:hAnsi="仿宋" w:eastAsia="仿宋" w:cs="仿宋_GB2312"/>
          <w:b/>
          <w:bCs/>
          <w:sz w:val="28"/>
          <w:szCs w:val="28"/>
        </w:rPr>
        <w:t>月30日（供货时间参</w:t>
      </w:r>
      <w:bookmarkStart w:id="0" w:name="_GoBack"/>
      <w:bookmarkEnd w:id="0"/>
      <w:r>
        <w:rPr>
          <w:rFonts w:hint="eastAsia" w:ascii="仿宋" w:hAnsi="仿宋" w:eastAsia="仿宋" w:cs="仿宋_GB2312"/>
          <w:b/>
          <w:bCs/>
          <w:sz w:val="28"/>
          <w:szCs w:val="28"/>
        </w:rPr>
        <w:t>考需方与业主签订的工程施工合同，实际供货时间可能有偏差，以实际需求为准），具体到货时间以需方要求为准。</w:t>
      </w:r>
    </w:p>
    <w:p>
      <w:pPr>
        <w:numPr>
          <w:ilvl w:val="0"/>
          <w:numId w:val="0"/>
        </w:numPr>
        <w:rPr>
          <w:rFonts w:hint="eastAsia" w:ascii="仿宋" w:hAnsi="仿宋" w:eastAsia="仿宋" w:cs="仿宋_GB2312"/>
          <w:b/>
          <w:bCs/>
          <w:sz w:val="28"/>
          <w:szCs w:val="28"/>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14:textFill>
            <w14:solidFill>
              <w14:schemeClr w14:val="tx1"/>
            </w14:solidFill>
          </w14:textFill>
        </w:rPr>
        <w:t>需方设有最高限价，高于标底报价作废标处理。</w:t>
      </w:r>
    </w:p>
    <w:p>
      <w:pPr>
        <w:spacing w:line="600" w:lineRule="exact"/>
        <w:ind w:firstLine="560" w:firstLineChars="200"/>
        <w:rPr>
          <w:rFonts w:hint="eastAsia" w:ascii="仿宋_GB2312" w:hAnsi="仿宋_GB2312" w:eastAsia="仿宋_GB2312"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4、中标候选人推荐：</w:t>
      </w:r>
      <w:r>
        <w:rPr>
          <w:rFonts w:hint="eastAsia" w:ascii="仿宋_GB2312" w:hAnsi="仿宋_GB2312" w:eastAsia="仿宋_GB2312" w:cs="仿宋_GB2312"/>
          <w:color w:val="000000" w:themeColor="text1"/>
          <w:sz w:val="28"/>
          <w:szCs w:val="28"/>
          <w:u w:val="single"/>
          <w14:textFill>
            <w14:solidFill>
              <w14:schemeClr w14:val="tx1"/>
            </w14:solidFill>
          </w14:textFill>
        </w:rPr>
        <w:t>评标委员会依据评标结果推荐</w:t>
      </w:r>
      <w:r>
        <w:rPr>
          <w:rFonts w:hint="eastAsia" w:ascii="仿宋_GB2312" w:hAnsi="仿宋_GB2312" w:eastAsia="仿宋_GB2312" w:cs="仿宋_GB2312"/>
          <w:b/>
          <w:bCs/>
          <w:color w:val="000000" w:themeColor="text1"/>
          <w:sz w:val="28"/>
          <w:szCs w:val="28"/>
          <w:u w:val="single"/>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u w:val="single"/>
          <w14:textFill>
            <w14:solidFill>
              <w14:schemeClr w14:val="tx1"/>
            </w14:solidFill>
          </w14:textFill>
        </w:rPr>
        <w:t>名中标候选人。</w:t>
      </w:r>
    </w:p>
    <w:p>
      <w:pPr>
        <w:spacing w:line="600" w:lineRule="exact"/>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2168" w:firstLineChars="600"/>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ind w:firstLine="2530" w:firstLineChars="700"/>
        <w:rPr>
          <w:rFonts w:ascii="仿宋_GB2312" w:hAnsi="仿宋_GB2312" w:eastAsia="仿宋_GB2312" w:cs="仿宋_GB2312"/>
          <w:sz w:val="28"/>
          <w:szCs w:val="28"/>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rPr>
      </w:pPr>
    </w:p>
    <w:p>
      <w:pPr>
        <w:spacing w:line="600" w:lineRule="exact"/>
        <w:rPr>
          <w:rFonts w:ascii="仿宋" w:hAnsi="仿宋" w:eastAsia="仿宋" w:cs="仿宋_GB2312"/>
          <w:sz w:val="28"/>
          <w:szCs w:val="28"/>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before="156" w:beforeLines="50" w:after="156" w:afterLines="50" w:line="360" w:lineRule="auto"/>
        <w:rPr>
          <w:sz w:val="24"/>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2-14</w:t>
      </w:r>
      <w:r>
        <w:rPr>
          <w:rFonts w:hint="eastAsia" w:ascii="仿宋_GB2312" w:eastAsia="仿宋_GB2312"/>
          <w:b/>
          <w:sz w:val="28"/>
          <w:szCs w:val="28"/>
        </w:rPr>
        <w:t>）</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1149"/>
        <w:gridCol w:w="3545"/>
        <w:gridCol w:w="132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1149" w:type="dxa"/>
            <w:vAlign w:val="center"/>
          </w:tcPr>
          <w:p>
            <w:pPr>
              <w:jc w:val="center"/>
              <w:rPr>
                <w:rFonts w:ascii="仿宋_GB2312" w:eastAsia="仿宋_GB2312"/>
                <w:sz w:val="24"/>
              </w:rPr>
            </w:pPr>
            <w:r>
              <w:rPr>
                <w:rFonts w:hint="eastAsia" w:ascii="仿宋_GB2312" w:eastAsia="仿宋_GB2312"/>
                <w:sz w:val="24"/>
              </w:rPr>
              <w:t>数量</w:t>
            </w:r>
          </w:p>
        </w:tc>
        <w:tc>
          <w:tcPr>
            <w:tcW w:w="3545" w:type="dxa"/>
            <w:vAlign w:val="center"/>
          </w:tcPr>
          <w:p>
            <w:pPr>
              <w:jc w:val="center"/>
              <w:rPr>
                <w:rFonts w:ascii="仿宋_GB2312" w:eastAsia="仿宋_GB2312"/>
                <w:b/>
                <w:bCs/>
                <w:sz w:val="24"/>
              </w:rPr>
            </w:pPr>
            <w:r>
              <w:rPr>
                <w:rFonts w:hint="eastAsia" w:ascii="仿宋_GB2312" w:eastAsia="仿宋_GB2312"/>
                <w:b/>
                <w:bCs/>
                <w:sz w:val="24"/>
              </w:rPr>
              <w:t>报价（按</w:t>
            </w:r>
            <w:r>
              <w:rPr>
                <w:rFonts w:hint="eastAsia" w:ascii="仿宋_GB2312" w:eastAsia="仿宋_GB2312"/>
                <w:b/>
                <w:bCs/>
                <w:sz w:val="24"/>
                <w:lang w:eastAsia="zh-CN"/>
              </w:rPr>
              <w:t>安庆市怀宁县</w:t>
            </w:r>
            <w:r>
              <w:rPr>
                <w:rFonts w:hint="eastAsia" w:ascii="仿宋_GB2312" w:eastAsia="仿宋_GB2312"/>
                <w:b/>
                <w:bCs/>
                <w:sz w:val="24"/>
              </w:rPr>
              <w:t>信息价下浮百分数）＊</w:t>
            </w:r>
          </w:p>
        </w:tc>
        <w:tc>
          <w:tcPr>
            <w:tcW w:w="1323" w:type="dxa"/>
            <w:vAlign w:val="center"/>
          </w:tcPr>
          <w:p>
            <w:pPr>
              <w:jc w:val="center"/>
              <w:rPr>
                <w:rFonts w:ascii="仿宋_GB2312" w:eastAsia="仿宋_GB2312"/>
                <w:b/>
                <w:bCs/>
                <w:sz w:val="24"/>
              </w:rPr>
            </w:pPr>
            <w:r>
              <w:rPr>
                <w:rFonts w:hint="eastAsia" w:ascii="仿宋_GB2312" w:eastAsia="仿宋_GB2312"/>
                <w:b/>
                <w:bCs/>
                <w:sz w:val="24"/>
              </w:rPr>
              <w:t>税率＊</w:t>
            </w:r>
          </w:p>
        </w:tc>
        <w:tc>
          <w:tcPr>
            <w:tcW w:w="3355"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color w:val="FF0000"/>
                <w:sz w:val="24"/>
              </w:rPr>
            </w:pPr>
            <w:r>
              <w:rPr>
                <w:rFonts w:hint="eastAsia" w:ascii="宋体" w:hAnsi="宋体" w:cs="宋体"/>
                <w:kern w:val="0"/>
                <w:sz w:val="20"/>
                <w:szCs w:val="20"/>
              </w:rPr>
              <w:t>商品混凝土</w:t>
            </w:r>
          </w:p>
        </w:tc>
        <w:tc>
          <w:tcPr>
            <w:tcW w:w="1515" w:type="dxa"/>
            <w:vAlign w:val="center"/>
          </w:tcPr>
          <w:p>
            <w:pPr>
              <w:widowControl/>
              <w:jc w:val="center"/>
              <w:textAlignment w:val="center"/>
              <w:rPr>
                <w:rFonts w:ascii="仿宋_GB2312" w:eastAsia="仿宋_GB2312"/>
                <w:color w:val="FF0000"/>
                <w:sz w:val="24"/>
              </w:rPr>
            </w:pPr>
            <w:r>
              <w:rPr>
                <w:rFonts w:hint="eastAsia" w:ascii="宋体" w:hAnsi="宋体" w:cs="宋体"/>
                <w:kern w:val="0"/>
                <w:sz w:val="20"/>
                <w:szCs w:val="20"/>
              </w:rPr>
              <w:t>C15/C20/C25/C30/C35/(泵送</w:t>
            </w:r>
            <w:r>
              <w:rPr>
                <w:rFonts w:hint="eastAsia" w:ascii="宋体" w:hAnsi="宋体" w:cs="宋体"/>
                <w:kern w:val="0"/>
                <w:sz w:val="20"/>
                <w:szCs w:val="20"/>
                <w:lang w:eastAsia="zh-CN"/>
              </w:rPr>
              <w:t>及非泵送</w:t>
            </w:r>
            <w:r>
              <w:rPr>
                <w:rFonts w:hint="eastAsia" w:ascii="宋体" w:hAnsi="宋体" w:cs="宋体"/>
                <w:kern w:val="0"/>
                <w:sz w:val="20"/>
                <w:szCs w:val="20"/>
              </w:rPr>
              <w:t>)等</w:t>
            </w:r>
          </w:p>
        </w:tc>
        <w:tc>
          <w:tcPr>
            <w:tcW w:w="1860" w:type="dxa"/>
            <w:vAlign w:val="center"/>
          </w:tcPr>
          <w:p>
            <w:pPr>
              <w:widowControl/>
              <w:jc w:val="center"/>
              <w:textAlignment w:val="center"/>
              <w:rPr>
                <w:rFonts w:ascii="宋体" w:hAnsi="宋体" w:cs="宋体"/>
                <w:color w:val="FF0000"/>
                <w:kern w:val="0"/>
                <w:sz w:val="20"/>
                <w:szCs w:val="20"/>
              </w:rPr>
            </w:pPr>
            <w:r>
              <w:rPr>
                <w:rFonts w:ascii="宋体" w:hAnsi="宋体" w:cs="宋体"/>
                <w:kern w:val="0"/>
                <w:sz w:val="20"/>
                <w:szCs w:val="20"/>
              </w:rPr>
              <w:t>GB/T14902-20</w:t>
            </w:r>
            <w:r>
              <w:rPr>
                <w:rFonts w:hint="eastAsia" w:ascii="宋体" w:hAnsi="宋体" w:cs="宋体"/>
                <w:kern w:val="0"/>
                <w:sz w:val="20"/>
                <w:szCs w:val="20"/>
              </w:rPr>
              <w:t>12</w:t>
            </w:r>
          </w:p>
        </w:tc>
        <w:tc>
          <w:tcPr>
            <w:tcW w:w="720" w:type="dxa"/>
            <w:vAlign w:val="center"/>
          </w:tcPr>
          <w:p>
            <w:pPr>
              <w:widowControl/>
              <w:jc w:val="center"/>
              <w:textAlignment w:val="center"/>
              <w:rPr>
                <w:rFonts w:ascii="宋体" w:hAnsi="宋体" w:cs="宋体"/>
                <w:color w:val="FF0000"/>
                <w:kern w:val="0"/>
                <w:sz w:val="20"/>
                <w:szCs w:val="20"/>
              </w:rPr>
            </w:pPr>
            <w:r>
              <w:rPr>
                <w:rFonts w:hint="eastAsia" w:ascii="宋体" w:hAnsi="宋体" w:cs="宋体"/>
                <w:kern w:val="0"/>
                <w:sz w:val="20"/>
                <w:szCs w:val="20"/>
              </w:rPr>
              <w:t>M³</w:t>
            </w:r>
          </w:p>
        </w:tc>
        <w:tc>
          <w:tcPr>
            <w:tcW w:w="1149" w:type="dxa"/>
            <w:vAlign w:val="center"/>
          </w:tcPr>
          <w:p>
            <w:pPr>
              <w:widowControl/>
              <w:jc w:val="center"/>
              <w:textAlignment w:val="center"/>
              <w:rPr>
                <w:rFonts w:hint="default" w:ascii="仿宋_GB2312" w:eastAsia="仿宋_GB2312"/>
                <w:color w:val="FF0000"/>
                <w:sz w:val="24"/>
                <w:lang w:val="en-US" w:eastAsia="zh-CN"/>
              </w:rPr>
            </w:pPr>
            <w:r>
              <w:rPr>
                <w:rFonts w:hint="eastAsia" w:ascii="仿宋_GB2312" w:eastAsia="仿宋_GB2312"/>
                <w:sz w:val="24"/>
                <w:lang w:val="en-US" w:eastAsia="zh-CN"/>
              </w:rPr>
              <w:t>965</w:t>
            </w:r>
          </w:p>
        </w:tc>
        <w:tc>
          <w:tcPr>
            <w:tcW w:w="3545" w:type="dxa"/>
            <w:vAlign w:val="center"/>
          </w:tcPr>
          <w:p>
            <w:pPr>
              <w:jc w:val="center"/>
              <w:rPr>
                <w:rFonts w:ascii="仿宋_GB2312" w:eastAsia="仿宋_GB2312"/>
                <w:sz w:val="24"/>
              </w:rPr>
            </w:pPr>
          </w:p>
        </w:tc>
        <w:tc>
          <w:tcPr>
            <w:tcW w:w="1323" w:type="dxa"/>
            <w:vAlign w:val="center"/>
          </w:tcPr>
          <w:p>
            <w:pPr>
              <w:widowControl/>
              <w:jc w:val="center"/>
              <w:textAlignment w:val="center"/>
              <w:rPr>
                <w:rFonts w:ascii="仿宋_GB2312" w:eastAsia="仿宋_GB2312"/>
                <w:sz w:val="24"/>
              </w:rPr>
            </w:pPr>
          </w:p>
        </w:tc>
        <w:tc>
          <w:tcPr>
            <w:tcW w:w="3355" w:type="dxa"/>
            <w:vAlign w:val="center"/>
          </w:tcPr>
          <w:p>
            <w:pPr>
              <w:widowControl/>
              <w:jc w:val="center"/>
              <w:textAlignment w:val="center"/>
              <w:rPr>
                <w:rFonts w:ascii="仿宋_GB2312" w:eastAsia="仿宋_GB2312"/>
                <w:color w:val="FF0000"/>
                <w:sz w:val="24"/>
              </w:rPr>
            </w:pPr>
            <w:r>
              <w:rPr>
                <w:rFonts w:hint="eastAsia" w:ascii="仿宋_GB2312" w:hAnsi="仿宋_GB2312" w:eastAsia="仿宋_GB2312" w:cs="仿宋_GB2312"/>
                <w:bCs/>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1149" w:type="dxa"/>
            <w:vAlign w:val="center"/>
          </w:tcPr>
          <w:p>
            <w:pPr>
              <w:jc w:val="center"/>
              <w:rPr>
                <w:rFonts w:ascii="仿宋_GB2312" w:eastAsia="仿宋_GB2312"/>
                <w:sz w:val="24"/>
              </w:rPr>
            </w:pPr>
          </w:p>
        </w:tc>
        <w:tc>
          <w:tcPr>
            <w:tcW w:w="3545" w:type="dxa"/>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p>
        </w:tc>
        <w:tc>
          <w:tcPr>
            <w:tcW w:w="3355"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08"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545" w:type="dxa"/>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67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08" w:type="dxa"/>
            <w:gridSpan w:val="6"/>
            <w:vMerge w:val="continue"/>
            <w:vAlign w:val="center"/>
          </w:tcPr>
          <w:p>
            <w:pPr>
              <w:rPr>
                <w:rFonts w:ascii="仿宋_GB2312" w:eastAsia="仿宋_GB2312"/>
                <w:sz w:val="24"/>
              </w:rPr>
            </w:pPr>
          </w:p>
        </w:tc>
        <w:tc>
          <w:tcPr>
            <w:tcW w:w="3545"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23" w:type="dxa"/>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08" w:type="dxa"/>
            <w:gridSpan w:val="6"/>
            <w:vMerge w:val="continue"/>
            <w:vAlign w:val="center"/>
          </w:tcPr>
          <w:p>
            <w:pPr>
              <w:rPr>
                <w:rFonts w:ascii="仿宋_GB2312" w:eastAsia="仿宋_GB2312"/>
                <w:sz w:val="24"/>
              </w:rPr>
            </w:pPr>
          </w:p>
        </w:tc>
        <w:tc>
          <w:tcPr>
            <w:tcW w:w="3545" w:type="dxa"/>
            <w:vMerge w:val="continue"/>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tabs>
          <w:tab w:val="left" w:pos="6397"/>
        </w:tabs>
        <w:bidi w:val="0"/>
        <w:jc w:val="left"/>
        <w:rPr>
          <w:rFonts w:hint="eastAsia"/>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144"/>
        <w:rPr>
          <w:rFonts w:hint="eastAsia"/>
        </w:rPr>
      </w:pPr>
    </w:p>
    <w:p>
      <w:pPr>
        <w:rPr>
          <w:rFonts w:hint="eastAsia" w:ascii="宋体"/>
          <w:sz w:val="24"/>
          <w:szCs w:val="22"/>
        </w:rPr>
      </w:pPr>
      <w:r>
        <w:rPr>
          <w:rFonts w:hint="eastAsia" w:ascii="宋体"/>
          <w:sz w:val="24"/>
          <w:lang w:val="en-US" w:eastAsia="zh-CN"/>
        </w:rPr>
        <w:t>商</w:t>
      </w:r>
      <w:r>
        <w:rPr>
          <w:rFonts w:hint="eastAsia" w:ascii="宋体"/>
          <w:sz w:val="24"/>
          <w:szCs w:val="22"/>
        </w:rPr>
        <w:t>务条款响应/偏离表</w:t>
      </w:r>
    </w:p>
    <w:p>
      <w:pPr>
        <w:rPr>
          <w:rFonts w:hint="eastAsia" w:ascii="宋体" w:hAnsi="宋体" w:eastAsia="宋体" w:cs="宋体"/>
          <w:b w:val="0"/>
          <w:bCs w:val="0"/>
          <w:sz w:val="24"/>
          <w:szCs w:val="24"/>
        </w:rPr>
      </w:pPr>
      <w:r>
        <w:rPr>
          <w:rFonts w:hint="eastAsia" w:ascii="宋体"/>
          <w:sz w:val="24"/>
        </w:rPr>
        <w:t>招标编号：</w:t>
      </w:r>
      <w:r>
        <w:rPr>
          <w:rFonts w:hint="eastAsia" w:ascii="宋体" w:hAnsi="宋体" w:eastAsia="宋体" w:cs="宋体"/>
          <w:b w:val="0"/>
          <w:bCs w:val="0"/>
          <w:sz w:val="24"/>
          <w:szCs w:val="24"/>
        </w:rPr>
        <w:t xml:space="preserve"> TGJA-WZ-202</w:t>
      </w:r>
      <w:r>
        <w:rPr>
          <w:rFonts w:hint="eastAsia" w:ascii="宋体" w:hAnsi="宋体" w:eastAsia="宋体" w:cs="宋体"/>
          <w:b w:val="0"/>
          <w:bCs w:val="0"/>
          <w:sz w:val="24"/>
          <w:szCs w:val="24"/>
          <w:lang w:val="en-US" w:eastAsia="zh-CN"/>
        </w:rPr>
        <w:t>2-14</w:t>
      </w:r>
    </w:p>
    <w:tbl>
      <w:tblPr>
        <w:tblStyle w:val="45"/>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144"/>
      </w:pPr>
    </w:p>
    <w:p>
      <w:pPr>
        <w:rPr>
          <w:rFonts w:hint="eastAsia" w:ascii="仿宋" w:hAnsi="仿宋" w:eastAsia="仿宋" w:cs="仿宋_GB2312"/>
          <w:b/>
          <w:sz w:val="21"/>
          <w:szCs w:val="21"/>
          <w:lang w:val="en-US" w:eastAsia="zh-CN"/>
        </w:rPr>
      </w:pPr>
      <w:r>
        <w:rPr>
          <w:rFonts w:hint="eastAsia" w:ascii="宋体" w:eastAsia="宋体"/>
          <w:sz w:val="24"/>
        </w:rPr>
        <w:t>注：投标人递交的投标文件中与招标文件的商务部分的要求有不同时，应逐条列在商务偏离表中，否则将认为投标人接受招标文件的要求</w:t>
      </w:r>
      <w:r>
        <w:rPr>
          <w:rFonts w:hint="eastAsia" w:eastAsia="宋体"/>
          <w:sz w:val="24"/>
          <w:lang w:eastAsia="zh-CN"/>
        </w:rPr>
        <w:t>。</w:t>
      </w:r>
    </w:p>
    <w:p>
      <w:pPr>
        <w:rPr>
          <w:rFonts w:hint="eastAsia" w:ascii="宋体"/>
          <w:sz w:val="24"/>
        </w:rPr>
      </w:pPr>
    </w:p>
    <w:p>
      <w:r>
        <w:rPr>
          <w:rFonts w:hint="eastAsia" w:ascii="宋体"/>
          <w:sz w:val="24"/>
        </w:rPr>
        <w:t>投标人名称：</w:t>
      </w:r>
      <w:r>
        <w:rPr>
          <w:rFonts w:ascii="宋体"/>
          <w:sz w:val="24"/>
        </w:rPr>
        <w:t xml:space="preserve"> </w:t>
      </w:r>
      <w:r>
        <w:rPr>
          <w:sz w:val="24"/>
        </w:rPr>
        <w:t xml:space="preserve">_____________________ </w:t>
      </w:r>
    </w:p>
    <w:p>
      <w:pPr>
        <w:rPr>
          <w:rFonts w:hint="eastAsia" w:ascii="宋体"/>
          <w:sz w:val="24"/>
        </w:rPr>
      </w:pPr>
    </w:p>
    <w:p>
      <w:pPr>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sectPr>
      <w:headerReference r:id="rId5" w:type="default"/>
      <w:footerReference r:id="rId6"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0" t="0" r="5080" b="7620"/>
          <wp:docPr id="1"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44DAF14"/>
    <w:multiLevelType w:val="singleLevel"/>
    <w:tmpl w:val="744DAF14"/>
    <w:lvl w:ilvl="0" w:tentative="0">
      <w:start w:val="8"/>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A3"/>
    <w:rsid w:val="00120BEC"/>
    <w:rsid w:val="0012356E"/>
    <w:rsid w:val="00124A2E"/>
    <w:rsid w:val="00130EDA"/>
    <w:rsid w:val="00130F21"/>
    <w:rsid w:val="00132040"/>
    <w:rsid w:val="00132C53"/>
    <w:rsid w:val="0013319E"/>
    <w:rsid w:val="00135EF2"/>
    <w:rsid w:val="001366DF"/>
    <w:rsid w:val="001433EE"/>
    <w:rsid w:val="00144151"/>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06B"/>
    <w:rsid w:val="001E7F1F"/>
    <w:rsid w:val="001F0E84"/>
    <w:rsid w:val="001F391D"/>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E5A"/>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16DB"/>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93E4B5E"/>
    <w:rsid w:val="0A5C7401"/>
    <w:rsid w:val="0B2B537E"/>
    <w:rsid w:val="0C6241B2"/>
    <w:rsid w:val="0D2B4E23"/>
    <w:rsid w:val="0E876D2F"/>
    <w:rsid w:val="0EC82FD7"/>
    <w:rsid w:val="0EEA79E8"/>
    <w:rsid w:val="0F791AC7"/>
    <w:rsid w:val="10181623"/>
    <w:rsid w:val="10BD1543"/>
    <w:rsid w:val="12A820AD"/>
    <w:rsid w:val="148531F5"/>
    <w:rsid w:val="17D86D23"/>
    <w:rsid w:val="18AF15FD"/>
    <w:rsid w:val="1B33713D"/>
    <w:rsid w:val="1B59783C"/>
    <w:rsid w:val="1BBF797C"/>
    <w:rsid w:val="1BFA6F4B"/>
    <w:rsid w:val="1DEE2CCA"/>
    <w:rsid w:val="2037683E"/>
    <w:rsid w:val="21583BD3"/>
    <w:rsid w:val="223E7710"/>
    <w:rsid w:val="237B1A84"/>
    <w:rsid w:val="24217469"/>
    <w:rsid w:val="25590EC9"/>
    <w:rsid w:val="26224809"/>
    <w:rsid w:val="26A26CEB"/>
    <w:rsid w:val="285E7005"/>
    <w:rsid w:val="299D4A4C"/>
    <w:rsid w:val="2A1902C2"/>
    <w:rsid w:val="2AB020F1"/>
    <w:rsid w:val="2BB548BC"/>
    <w:rsid w:val="2BE80223"/>
    <w:rsid w:val="2C995D0F"/>
    <w:rsid w:val="2D3E7816"/>
    <w:rsid w:val="2E8E540F"/>
    <w:rsid w:val="302E3043"/>
    <w:rsid w:val="30D974B7"/>
    <w:rsid w:val="333663C1"/>
    <w:rsid w:val="336F7BD6"/>
    <w:rsid w:val="343C1399"/>
    <w:rsid w:val="34634E47"/>
    <w:rsid w:val="346848DB"/>
    <w:rsid w:val="354F3A99"/>
    <w:rsid w:val="357B16F3"/>
    <w:rsid w:val="36050FAB"/>
    <w:rsid w:val="3989643E"/>
    <w:rsid w:val="3A3173ED"/>
    <w:rsid w:val="3AD10001"/>
    <w:rsid w:val="3B076549"/>
    <w:rsid w:val="3C5B75D3"/>
    <w:rsid w:val="3C7823C8"/>
    <w:rsid w:val="3DBC2399"/>
    <w:rsid w:val="3DCC4487"/>
    <w:rsid w:val="3E474521"/>
    <w:rsid w:val="3EC82979"/>
    <w:rsid w:val="40F256AA"/>
    <w:rsid w:val="41B46B47"/>
    <w:rsid w:val="424B79E0"/>
    <w:rsid w:val="434963F7"/>
    <w:rsid w:val="439F612A"/>
    <w:rsid w:val="441344E9"/>
    <w:rsid w:val="44842956"/>
    <w:rsid w:val="44B922E9"/>
    <w:rsid w:val="45DC2779"/>
    <w:rsid w:val="465E02D2"/>
    <w:rsid w:val="46841C18"/>
    <w:rsid w:val="46BC5513"/>
    <w:rsid w:val="47F15155"/>
    <w:rsid w:val="499D4ACB"/>
    <w:rsid w:val="4E822997"/>
    <w:rsid w:val="4ED20DFA"/>
    <w:rsid w:val="4F0F5DA2"/>
    <w:rsid w:val="4F397E6D"/>
    <w:rsid w:val="4F54161A"/>
    <w:rsid w:val="504C2BE7"/>
    <w:rsid w:val="51B50E5A"/>
    <w:rsid w:val="53DE502C"/>
    <w:rsid w:val="554830C1"/>
    <w:rsid w:val="56B4262E"/>
    <w:rsid w:val="576F2EA8"/>
    <w:rsid w:val="5807041D"/>
    <w:rsid w:val="583F79D3"/>
    <w:rsid w:val="58691989"/>
    <w:rsid w:val="58F960F8"/>
    <w:rsid w:val="599F0979"/>
    <w:rsid w:val="5C1E1084"/>
    <w:rsid w:val="5EE01EF7"/>
    <w:rsid w:val="60F035C2"/>
    <w:rsid w:val="63E45615"/>
    <w:rsid w:val="69AD4D95"/>
    <w:rsid w:val="69B54174"/>
    <w:rsid w:val="69E72BBC"/>
    <w:rsid w:val="6A315ABB"/>
    <w:rsid w:val="6A660AE8"/>
    <w:rsid w:val="6A87598F"/>
    <w:rsid w:val="6C55155E"/>
    <w:rsid w:val="6E1906F3"/>
    <w:rsid w:val="703849D5"/>
    <w:rsid w:val="711712EF"/>
    <w:rsid w:val="71F33817"/>
    <w:rsid w:val="74424C37"/>
    <w:rsid w:val="746314FB"/>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774</Words>
  <Characters>4416</Characters>
  <Lines>36</Lines>
  <Paragraphs>10</Paragraphs>
  <TotalTime>39</TotalTime>
  <ScaleCrop>false</ScaleCrop>
  <LinksUpToDate>false</LinksUpToDate>
  <CharactersWithSpaces>5180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2021-07-16T08:25:00Z</dcterms:created>
  <dc:creator>e510</dc:creator>
  <cp:lastModifiedBy>海阔天空</cp:lastModifiedBy>
  <cp:lastPrinted>2019-05-06T09:43:00Z</cp:lastPrinted>
  <dcterms:modified xsi:type="dcterms:W3CDTF">2022-03-03T06:35:31Z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961E8BAE1A8B4BF38B3A5288EB796230</vt:lpwstr>
  </property>
</Properties>
</file>