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宋体" w:hAnsi="宋体" w:cs="宋体"/>
          <w:b/>
          <w:bCs/>
          <w:sz w:val="44"/>
          <w:szCs w:val="44"/>
          <w:u w:val="single"/>
        </w:rPr>
      </w:pPr>
    </w:p>
    <w:p>
      <w:pPr>
        <w:jc w:val="center"/>
        <w:rPr>
          <w:rFonts w:hint="eastAsia" w:ascii="仿宋_GB2312" w:hAnsi="仿宋_GB2312" w:eastAsia="宋体" w:cs="仿宋_GB2312"/>
          <w:b/>
          <w:bCs/>
          <w:color w:val="000000"/>
          <w:sz w:val="44"/>
          <w:szCs w:val="44"/>
          <w:u w:val="single"/>
          <w:lang w:eastAsia="zh-CN"/>
        </w:rPr>
      </w:pPr>
      <w:r>
        <w:rPr>
          <w:rFonts w:hint="eastAsia" w:ascii="宋体" w:hAnsi="宋体" w:cs="宋体"/>
          <w:b/>
          <w:bCs/>
          <w:sz w:val="44"/>
          <w:szCs w:val="44"/>
          <w:u w:val="single"/>
          <w:lang w:eastAsia="zh-CN"/>
        </w:rPr>
        <w:t>铜冠检测</w:t>
      </w:r>
      <w:r>
        <w:rPr>
          <w:rFonts w:hint="eastAsia" w:ascii="宋体" w:hAnsi="宋体" w:cs="宋体"/>
          <w:b/>
          <w:bCs/>
          <w:sz w:val="44"/>
          <w:szCs w:val="44"/>
          <w:u w:val="single"/>
        </w:rPr>
        <w:t>公司-</w:t>
      </w:r>
      <w:r>
        <w:rPr>
          <w:rFonts w:hint="eastAsia" w:ascii="宋体" w:hAnsi="宋体" w:cs="宋体"/>
          <w:b/>
          <w:bCs/>
          <w:sz w:val="44"/>
          <w:szCs w:val="44"/>
          <w:u w:val="single"/>
          <w:lang w:val="en-US" w:eastAsia="zh-CN"/>
        </w:rPr>
        <w:t>超薄件穿透测厚仪</w:t>
      </w:r>
    </w:p>
    <w:p>
      <w:pPr>
        <w:spacing w:line="700" w:lineRule="exact"/>
        <w:jc w:val="center"/>
        <w:rPr>
          <w:rFonts w:ascii="仿宋" w:hAnsi="仿宋" w:eastAsia="仿宋"/>
          <w:sz w:val="48"/>
          <w:szCs w:val="48"/>
        </w:rPr>
      </w:pPr>
    </w:p>
    <w:p>
      <w:pPr>
        <w:spacing w:line="700" w:lineRule="exact"/>
        <w:jc w:val="center"/>
        <w:rPr>
          <w:rFonts w:ascii="仿宋" w:hAnsi="仿宋" w:eastAsia="仿宋"/>
          <w:sz w:val="44"/>
          <w:szCs w:val="44"/>
        </w:rPr>
      </w:pPr>
    </w:p>
    <w:p>
      <w:pPr>
        <w:tabs>
          <w:tab w:val="left" w:pos="7020"/>
        </w:tabs>
        <w:jc w:val="center"/>
        <w:rPr>
          <w:rFonts w:ascii="仿宋" w:hAnsi="仿宋" w:eastAsia="仿宋"/>
          <w:b/>
          <w:sz w:val="72"/>
          <w:szCs w:val="72"/>
        </w:rPr>
      </w:pPr>
      <w:r>
        <w:rPr>
          <w:rFonts w:hint="eastAsia" w:ascii="仿宋" w:hAnsi="仿宋" w:eastAsia="仿宋"/>
          <w:b/>
          <w:sz w:val="72"/>
          <w:szCs w:val="72"/>
        </w:rPr>
        <w:t>招标文件</w:t>
      </w:r>
    </w:p>
    <w:p>
      <w:pPr>
        <w:tabs>
          <w:tab w:val="left" w:pos="7020"/>
        </w:tabs>
        <w:jc w:val="center"/>
        <w:rPr>
          <w:rFonts w:ascii="仿宋" w:hAnsi="仿宋" w:eastAsia="仿宋"/>
          <w:b/>
          <w:sz w:val="52"/>
          <w:szCs w:val="52"/>
        </w:rPr>
      </w:pPr>
    </w:p>
    <w:p>
      <w:pPr>
        <w:keepNext w:val="0"/>
        <w:keepLines w:val="0"/>
        <w:pageBreakBefore w:val="0"/>
        <w:widowControl w:val="0"/>
        <w:kinsoku/>
        <w:wordWrap/>
        <w:overflowPunct/>
        <w:topLinePunct w:val="0"/>
        <w:autoSpaceDE/>
        <w:autoSpaceDN/>
        <w:bidi w:val="0"/>
        <w:adjustRightInd/>
        <w:snapToGrid/>
        <w:spacing w:line="840" w:lineRule="auto"/>
        <w:textAlignment w:val="auto"/>
        <w:rPr>
          <w:rFonts w:hint="eastAsia" w:ascii="仿宋" w:hAnsi="仿宋" w:eastAsia="仿宋" w:cs="仿宋_GB2312"/>
          <w:b/>
          <w:bCs/>
          <w:sz w:val="32"/>
          <w:szCs w:val="32"/>
        </w:rPr>
      </w:pPr>
    </w:p>
    <w:p>
      <w:pPr>
        <w:keepNext w:val="0"/>
        <w:keepLines w:val="0"/>
        <w:pageBreakBefore w:val="0"/>
        <w:widowControl w:val="0"/>
        <w:kinsoku/>
        <w:wordWrap/>
        <w:overflowPunct/>
        <w:topLinePunct w:val="0"/>
        <w:autoSpaceDE/>
        <w:autoSpaceDN/>
        <w:bidi w:val="0"/>
        <w:adjustRightInd/>
        <w:snapToGrid/>
        <w:spacing w:line="840" w:lineRule="auto"/>
        <w:textAlignment w:val="auto"/>
        <w:rPr>
          <w:rFonts w:hint="eastAsia" w:ascii="仿宋" w:hAnsi="仿宋" w:eastAsia="仿宋" w:cs="仿宋_GB2312"/>
          <w:b/>
          <w:bCs/>
          <w:sz w:val="32"/>
          <w:szCs w:val="32"/>
          <w:u w:val="single"/>
          <w:lang w:val="en-US" w:eastAsia="zh-CN"/>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TGJA－JX－202</w:t>
      </w:r>
      <w:r>
        <w:rPr>
          <w:rFonts w:hint="eastAsia" w:ascii="仿宋" w:hAnsi="仿宋" w:eastAsia="仿宋" w:cs="仿宋_GB2312"/>
          <w:b/>
          <w:bCs/>
          <w:sz w:val="32"/>
          <w:szCs w:val="32"/>
          <w:u w:val="single"/>
          <w:lang w:val="en-US" w:eastAsia="zh-CN"/>
        </w:rPr>
        <w:t>1</w:t>
      </w:r>
      <w:r>
        <w:rPr>
          <w:rFonts w:hint="eastAsia" w:ascii="仿宋" w:hAnsi="仿宋" w:eastAsia="仿宋" w:cs="仿宋_GB2312"/>
          <w:b/>
          <w:bCs/>
          <w:sz w:val="32"/>
          <w:szCs w:val="32"/>
          <w:u w:val="single"/>
        </w:rPr>
        <w:t>-0</w:t>
      </w:r>
      <w:r>
        <w:rPr>
          <w:rFonts w:hint="eastAsia" w:ascii="仿宋" w:hAnsi="仿宋" w:eastAsia="仿宋" w:cs="仿宋_GB2312"/>
          <w:b/>
          <w:bCs/>
          <w:sz w:val="32"/>
          <w:szCs w:val="32"/>
          <w:u w:val="single"/>
          <w:lang w:val="en-US" w:eastAsia="zh-CN"/>
        </w:rPr>
        <w:t>4</w:t>
      </w:r>
    </w:p>
    <w:p>
      <w:pPr>
        <w:keepNext w:val="0"/>
        <w:keepLines w:val="0"/>
        <w:pageBreakBefore w:val="0"/>
        <w:widowControl w:val="0"/>
        <w:kinsoku/>
        <w:wordWrap/>
        <w:overflowPunct/>
        <w:topLinePunct w:val="0"/>
        <w:autoSpaceDE/>
        <w:autoSpaceDN/>
        <w:bidi w:val="0"/>
        <w:adjustRightInd/>
        <w:snapToGrid/>
        <w:spacing w:line="840" w:lineRule="auto"/>
        <w:textAlignment w:val="auto"/>
        <w:rPr>
          <w:rFonts w:ascii="仿宋" w:hAnsi="仿宋" w:eastAsia="仿宋" w:cs="仿宋_GB2312"/>
          <w:b/>
          <w:bCs/>
          <w:sz w:val="32"/>
          <w:szCs w:val="32"/>
          <w:u w:val="single"/>
        </w:rPr>
      </w:pPr>
      <w:r>
        <w:rPr>
          <w:rFonts w:hint="eastAsia" w:ascii="仿宋" w:hAnsi="仿宋" w:eastAsia="仿宋" w:cs="仿宋_GB2312"/>
          <w:b/>
          <w:bCs/>
          <w:sz w:val="32"/>
          <w:szCs w:val="32"/>
          <w:u w:val="none"/>
        </w:rPr>
        <w:t>招标内容：</w:t>
      </w:r>
      <w:r>
        <w:rPr>
          <w:rFonts w:hint="eastAsia" w:ascii="仿宋" w:hAnsi="仿宋" w:eastAsia="仿宋" w:cs="仿宋_GB2312"/>
          <w:b/>
          <w:bCs/>
          <w:sz w:val="32"/>
          <w:szCs w:val="32"/>
          <w:u w:val="single"/>
          <w:lang w:val="en-US" w:eastAsia="zh-CN"/>
        </w:rPr>
        <w:t>超薄件穿透测厚仪</w:t>
      </w:r>
      <w:r>
        <w:rPr>
          <w:rFonts w:hint="eastAsia" w:ascii="仿宋" w:hAnsi="仿宋" w:eastAsia="仿宋" w:cs="仿宋_GB2312"/>
          <w:b/>
          <w:bCs/>
          <w:sz w:val="32"/>
          <w:szCs w:val="32"/>
          <w:u w:val="single"/>
        </w:rPr>
        <w:t xml:space="preserve">   </w:t>
      </w:r>
    </w:p>
    <w:p>
      <w:pPr>
        <w:keepNext w:val="0"/>
        <w:keepLines w:val="0"/>
        <w:pageBreakBefore w:val="0"/>
        <w:widowControl w:val="0"/>
        <w:kinsoku/>
        <w:wordWrap/>
        <w:overflowPunct/>
        <w:topLinePunct w:val="0"/>
        <w:autoSpaceDE/>
        <w:autoSpaceDN/>
        <w:bidi w:val="0"/>
        <w:adjustRightInd/>
        <w:snapToGrid/>
        <w:spacing w:line="840" w:lineRule="auto"/>
        <w:textAlignment w:val="auto"/>
        <w:rPr>
          <w:rFonts w:hint="eastAsia" w:ascii="仿宋" w:hAnsi="仿宋" w:eastAsia="仿宋" w:cs="仿宋_GB2312"/>
          <w:b/>
          <w:bCs/>
          <w:sz w:val="32"/>
          <w:szCs w:val="32"/>
          <w:u w:val="single"/>
          <w:lang w:eastAsia="zh-CN"/>
        </w:rPr>
      </w:pPr>
      <w:r>
        <w:rPr>
          <w:rFonts w:hint="eastAsia" w:ascii="仿宋" w:hAnsi="仿宋" w:eastAsia="仿宋" w:cs="仿宋_GB2312"/>
          <w:b/>
          <w:bCs/>
          <w:sz w:val="32"/>
          <w:szCs w:val="32"/>
          <w:u w:val="none"/>
        </w:rPr>
        <w:t>招标人：</w:t>
      </w:r>
      <w:r>
        <w:rPr>
          <w:rFonts w:hint="eastAsia" w:ascii="仿宋" w:hAnsi="仿宋" w:eastAsia="仿宋" w:cs="仿宋_GB2312"/>
          <w:b/>
          <w:bCs/>
          <w:sz w:val="32"/>
          <w:szCs w:val="32"/>
          <w:u w:val="single"/>
        </w:rPr>
        <w:t>铜陵</w:t>
      </w:r>
      <w:r>
        <w:rPr>
          <w:rFonts w:hint="eastAsia" w:ascii="仿宋" w:hAnsi="仿宋" w:eastAsia="仿宋" w:cs="仿宋_GB2312"/>
          <w:b/>
          <w:bCs/>
          <w:sz w:val="32"/>
          <w:szCs w:val="32"/>
          <w:u w:val="single"/>
          <w:lang w:eastAsia="zh-CN"/>
        </w:rPr>
        <w:t>有色金属集团铜冠建筑安装股份有限公司</w:t>
      </w:r>
    </w:p>
    <w:p>
      <w:pPr>
        <w:keepNext w:val="0"/>
        <w:keepLines w:val="0"/>
        <w:pageBreakBefore w:val="0"/>
        <w:widowControl w:val="0"/>
        <w:kinsoku/>
        <w:wordWrap/>
        <w:overflowPunct/>
        <w:topLinePunct w:val="0"/>
        <w:autoSpaceDE/>
        <w:autoSpaceDN/>
        <w:bidi w:val="0"/>
        <w:adjustRightInd/>
        <w:snapToGrid/>
        <w:spacing w:line="840" w:lineRule="auto"/>
        <w:textAlignment w:val="auto"/>
        <w:rPr>
          <w:rFonts w:hint="eastAsia" w:ascii="仿宋" w:hAnsi="仿宋" w:eastAsia="仿宋" w:cs="仿宋_GB2312"/>
          <w:b/>
          <w:bCs/>
          <w:sz w:val="32"/>
          <w:szCs w:val="32"/>
          <w:u w:val="single"/>
        </w:rPr>
      </w:pPr>
      <w:r>
        <w:rPr>
          <w:rFonts w:hint="eastAsia" w:ascii="仿宋" w:hAnsi="仿宋" w:eastAsia="仿宋" w:cs="仿宋_GB2312"/>
          <w:b/>
          <w:bCs/>
          <w:sz w:val="32"/>
          <w:szCs w:val="32"/>
          <w:u w:val="none"/>
        </w:rPr>
        <w:t>联系人：</w:t>
      </w:r>
      <w:r>
        <w:rPr>
          <w:rFonts w:hint="eastAsia" w:ascii="仿宋" w:hAnsi="仿宋" w:eastAsia="仿宋" w:cs="仿宋_GB2312"/>
          <w:b/>
          <w:bCs/>
          <w:sz w:val="32"/>
          <w:szCs w:val="32"/>
          <w:u w:val="single"/>
        </w:rPr>
        <w:t xml:space="preserve">章浩（18705628595）        </w:t>
      </w:r>
    </w:p>
    <w:p>
      <w:pPr>
        <w:keepNext w:val="0"/>
        <w:keepLines w:val="0"/>
        <w:pageBreakBefore w:val="0"/>
        <w:widowControl w:val="0"/>
        <w:kinsoku/>
        <w:wordWrap/>
        <w:overflowPunct/>
        <w:topLinePunct w:val="0"/>
        <w:autoSpaceDE/>
        <w:autoSpaceDN/>
        <w:bidi w:val="0"/>
        <w:adjustRightInd/>
        <w:snapToGrid/>
        <w:spacing w:line="840" w:lineRule="auto"/>
        <w:textAlignment w:val="auto"/>
        <w:rPr>
          <w:rFonts w:ascii="仿宋" w:hAnsi="仿宋" w:eastAsia="仿宋" w:cs="仿宋_GB2312"/>
          <w:b/>
          <w:bCs/>
          <w:sz w:val="32"/>
          <w:szCs w:val="32"/>
          <w:u w:val="single"/>
        </w:rPr>
      </w:pPr>
      <w:r>
        <w:rPr>
          <w:rFonts w:hint="eastAsia" w:ascii="仿宋" w:hAnsi="仿宋" w:eastAsia="仿宋" w:cs="仿宋_GB2312"/>
          <w:b/>
          <w:bCs/>
          <w:sz w:val="32"/>
          <w:szCs w:val="32"/>
          <w:u w:val="none"/>
        </w:rPr>
        <w:t>投标截止时间：</w:t>
      </w:r>
      <w:r>
        <w:rPr>
          <w:rFonts w:hint="eastAsia" w:ascii="仿宋" w:hAnsi="仿宋" w:eastAsia="仿宋" w:cs="仿宋_GB2312"/>
          <w:b/>
          <w:bCs/>
          <w:sz w:val="32"/>
          <w:szCs w:val="32"/>
          <w:u w:val="single"/>
        </w:rPr>
        <w:t xml:space="preserve"> 202</w:t>
      </w:r>
      <w:r>
        <w:rPr>
          <w:rFonts w:hint="eastAsia" w:ascii="仿宋" w:hAnsi="仿宋" w:eastAsia="仿宋" w:cs="仿宋_GB2312"/>
          <w:b/>
          <w:bCs/>
          <w:sz w:val="32"/>
          <w:szCs w:val="32"/>
          <w:u w:val="single"/>
          <w:lang w:val="en-US" w:eastAsia="zh-CN"/>
        </w:rPr>
        <w:t>1</w:t>
      </w:r>
      <w:r>
        <w:rPr>
          <w:rFonts w:hint="eastAsia" w:ascii="仿宋" w:hAnsi="仿宋" w:eastAsia="仿宋" w:cs="仿宋_GB2312"/>
          <w:b/>
          <w:bCs/>
          <w:sz w:val="32"/>
          <w:szCs w:val="32"/>
          <w:u w:val="single"/>
        </w:rPr>
        <w:t>年</w:t>
      </w:r>
      <w:r>
        <w:rPr>
          <w:rFonts w:hint="eastAsia" w:ascii="仿宋" w:hAnsi="仿宋" w:eastAsia="仿宋" w:cs="仿宋_GB2312"/>
          <w:b/>
          <w:bCs/>
          <w:sz w:val="32"/>
          <w:szCs w:val="32"/>
          <w:u w:val="single"/>
          <w:lang w:val="en-US" w:eastAsia="zh-CN"/>
        </w:rPr>
        <w:t>3</w:t>
      </w:r>
      <w:r>
        <w:rPr>
          <w:rFonts w:hint="eastAsia" w:ascii="仿宋" w:hAnsi="仿宋" w:eastAsia="仿宋" w:cs="仿宋_GB2312"/>
          <w:b/>
          <w:bCs/>
          <w:sz w:val="32"/>
          <w:szCs w:val="32"/>
          <w:u w:val="single"/>
        </w:rPr>
        <w:t>月</w:t>
      </w:r>
      <w:r>
        <w:rPr>
          <w:rFonts w:hint="eastAsia" w:ascii="仿宋" w:hAnsi="仿宋" w:eastAsia="仿宋" w:cs="仿宋_GB2312"/>
          <w:b/>
          <w:bCs/>
          <w:sz w:val="32"/>
          <w:szCs w:val="32"/>
          <w:u w:val="single"/>
          <w:lang w:val="en-US" w:eastAsia="zh-CN"/>
        </w:rPr>
        <w:t>31</w:t>
      </w:r>
      <w:r>
        <w:rPr>
          <w:rFonts w:hint="eastAsia" w:ascii="仿宋" w:hAnsi="仿宋" w:eastAsia="仿宋" w:cs="仿宋_GB2312"/>
          <w:b/>
          <w:bCs/>
          <w:sz w:val="32"/>
          <w:szCs w:val="32"/>
          <w:u w:val="single"/>
        </w:rPr>
        <w:t xml:space="preserve">日 </w:t>
      </w:r>
      <w:r>
        <w:rPr>
          <w:rFonts w:hint="eastAsia" w:ascii="仿宋" w:hAnsi="仿宋" w:eastAsia="仿宋" w:cs="仿宋_GB2312"/>
          <w:b/>
          <w:bCs/>
          <w:sz w:val="32"/>
          <w:szCs w:val="32"/>
          <w:u w:val="single"/>
          <w:lang w:val="en-US" w:eastAsia="zh-CN"/>
        </w:rPr>
        <w:t>9</w:t>
      </w:r>
      <w:r>
        <w:rPr>
          <w:rFonts w:hint="eastAsia" w:ascii="仿宋" w:hAnsi="仿宋" w:eastAsia="仿宋" w:cs="仿宋_GB2312"/>
          <w:b/>
          <w:bCs/>
          <w:sz w:val="32"/>
          <w:szCs w:val="32"/>
          <w:u w:val="single"/>
        </w:rPr>
        <w:t xml:space="preserve">：00   </w:t>
      </w: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hint="eastAsia" w:ascii="仿宋" w:hAnsi="仿宋" w:eastAsia="仿宋" w:cs="仿宋_GB2312"/>
          <w:b/>
          <w:bCs/>
          <w:sz w:val="28"/>
          <w:szCs w:val="28"/>
        </w:rPr>
      </w:pPr>
    </w:p>
    <w:p>
      <w:pPr>
        <w:rPr>
          <w:rFonts w:hint="eastAsia" w:ascii="仿宋" w:hAnsi="仿宋" w:eastAsia="仿宋" w:cs="仿宋_GB2312"/>
          <w:b/>
          <w:bCs/>
          <w:sz w:val="28"/>
          <w:szCs w:val="28"/>
        </w:rPr>
      </w:pPr>
    </w:p>
    <w:p>
      <w:pPr>
        <w:rPr>
          <w:rFonts w:ascii="仿宋" w:hAnsi="仿宋" w:eastAsia="仿宋" w:cs="仿宋_GB2312"/>
          <w:b/>
          <w:bCs/>
          <w:sz w:val="28"/>
          <w:szCs w:val="28"/>
        </w:rPr>
      </w:pPr>
      <w:r>
        <w:rPr>
          <w:rFonts w:hint="eastAsia" w:ascii="仿宋" w:hAnsi="仿宋" w:eastAsia="仿宋" w:cs="仿宋_GB2312"/>
          <w:b/>
          <w:bCs/>
          <w:sz w:val="28"/>
          <w:szCs w:val="28"/>
        </w:rPr>
        <w:t>【声明】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w:t>
      </w:r>
      <w:r>
        <w:rPr>
          <w:rFonts w:hint="eastAsia" w:ascii="仿宋" w:hAnsi="仿宋" w:eastAsia="仿宋" w:cs="仿宋_GB2312"/>
          <w:sz w:val="28"/>
          <w:szCs w:val="28"/>
          <w:lang w:eastAsia="zh-CN"/>
        </w:rPr>
        <w:t>工程</w:t>
      </w:r>
      <w:r>
        <w:rPr>
          <w:rFonts w:hint="eastAsia" w:ascii="仿宋" w:hAnsi="仿宋" w:eastAsia="仿宋" w:cs="仿宋_GB2312"/>
          <w:sz w:val="28"/>
          <w:szCs w:val="28"/>
        </w:rPr>
        <w:t>部根据阳光工程相关规定通过招标平台进行公开招标（竞价）。</w:t>
      </w:r>
    </w:p>
    <w:p>
      <w:pPr>
        <w:ind w:firstLine="560" w:firstLineChars="200"/>
        <w:rPr>
          <w:rFonts w:hint="eastAsia" w:ascii="仿宋" w:hAnsi="仿宋" w:eastAsia="仿宋" w:cs="仿宋_GB2312"/>
          <w:b/>
          <w:sz w:val="36"/>
          <w:szCs w:val="36"/>
        </w:rPr>
      </w:pPr>
      <w:r>
        <w:rPr>
          <w:rFonts w:hint="eastAsia" w:ascii="仿宋" w:hAnsi="仿宋" w:eastAsia="仿宋" w:cs="仿宋_GB2312"/>
          <w:sz w:val="28"/>
          <w:szCs w:val="28"/>
        </w:rPr>
        <w:t>2、公开招标（竞价）在铜冠建安公司纪委监督下进行。</w:t>
      </w:r>
    </w:p>
    <w:p>
      <w:pPr>
        <w:keepNext w:val="0"/>
        <w:keepLines w:val="0"/>
        <w:pageBreakBefore w:val="0"/>
        <w:widowControl w:val="0"/>
        <w:kinsoku/>
        <w:wordWrap/>
        <w:overflowPunct/>
        <w:topLinePunct w:val="0"/>
        <w:autoSpaceDE/>
        <w:autoSpaceDN/>
        <w:bidi w:val="0"/>
        <w:adjustRightInd/>
        <w:snapToGrid/>
        <w:spacing w:before="313" w:beforeLines="100" w:after="157" w:afterLines="50"/>
        <w:jc w:val="center"/>
        <w:textAlignment w:val="auto"/>
        <w:rPr>
          <w:rFonts w:ascii="仿宋" w:hAnsi="仿宋" w:eastAsia="仿宋" w:cs="仿宋_GB2312"/>
          <w:b/>
          <w:sz w:val="36"/>
          <w:szCs w:val="36"/>
        </w:rPr>
      </w:pPr>
      <w:r>
        <w:rPr>
          <w:rFonts w:hint="eastAsia" w:ascii="仿宋" w:hAnsi="仿宋" w:eastAsia="仿宋" w:cs="仿宋_GB2312"/>
          <w:b/>
          <w:sz w:val="36"/>
          <w:szCs w:val="36"/>
        </w:rPr>
        <w:t>一、招标日程安排</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1、招标公告发布日期：</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1</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25</w:t>
      </w:r>
      <w:r>
        <w:rPr>
          <w:rFonts w:hint="eastAsia" w:ascii="仿宋" w:hAnsi="仿宋" w:eastAsia="仿宋" w:cs="仿宋_GB2312"/>
          <w:sz w:val="28"/>
          <w:szCs w:val="28"/>
          <w:u w:val="single"/>
        </w:rPr>
        <w:t>日</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2、投标截止时间：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1</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31</w:t>
      </w:r>
      <w:r>
        <w:rPr>
          <w:rFonts w:hint="eastAsia" w:ascii="仿宋" w:hAnsi="仿宋" w:eastAsia="仿宋" w:cs="仿宋_GB2312"/>
          <w:sz w:val="28"/>
          <w:szCs w:val="28"/>
          <w:u w:val="single"/>
        </w:rPr>
        <w:t>日</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3、投标文件递交地点：</w:t>
      </w:r>
      <w:r>
        <w:rPr>
          <w:rFonts w:hint="eastAsia" w:ascii="仿宋" w:hAnsi="仿宋" w:eastAsia="仿宋" w:cs="仿宋_GB2312"/>
          <w:sz w:val="28"/>
          <w:szCs w:val="28"/>
          <w:u w:val="single"/>
        </w:rPr>
        <w:t>铜陵有色金属集团铜冠建筑安装股份有限公司经营部（长江西路2571号主楼三楼）</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5、开标时间：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1</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31</w:t>
      </w:r>
      <w:r>
        <w:rPr>
          <w:rFonts w:hint="eastAsia" w:ascii="仿宋" w:hAnsi="仿宋" w:eastAsia="仿宋" w:cs="仿宋_GB2312"/>
          <w:sz w:val="28"/>
          <w:szCs w:val="28"/>
          <w:u w:val="single"/>
        </w:rPr>
        <w:t>日</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6、发中标通知书时间：另行通知</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7、签订合同时间：另行通知</w:t>
      </w:r>
    </w:p>
    <w:p>
      <w:pPr>
        <w:keepNext w:val="0"/>
        <w:keepLines w:val="0"/>
        <w:pageBreakBefore w:val="0"/>
        <w:widowControl w:val="0"/>
        <w:kinsoku/>
        <w:wordWrap/>
        <w:overflowPunct/>
        <w:topLinePunct w:val="0"/>
        <w:autoSpaceDE/>
        <w:autoSpaceDN/>
        <w:bidi w:val="0"/>
        <w:adjustRightInd/>
        <w:snapToGrid/>
        <w:spacing w:before="313" w:beforeLines="100" w:after="157" w:afterLines="50"/>
        <w:jc w:val="center"/>
        <w:textAlignment w:val="auto"/>
        <w:rPr>
          <w:rFonts w:hint="eastAsia" w:ascii="仿宋" w:hAnsi="仿宋" w:eastAsia="仿宋" w:cs="仿宋_GB2312"/>
          <w:b/>
          <w:sz w:val="36"/>
          <w:szCs w:val="36"/>
        </w:rPr>
      </w:pPr>
      <w:r>
        <w:rPr>
          <w:rFonts w:hint="eastAsia" w:ascii="仿宋" w:hAnsi="仿宋" w:eastAsia="仿宋" w:cs="仿宋_GB2312"/>
          <w:b/>
          <w:sz w:val="36"/>
          <w:szCs w:val="36"/>
        </w:rPr>
        <w:t>二、招标内容</w:t>
      </w:r>
    </w:p>
    <w:p>
      <w:pPr>
        <w:ind w:firstLine="560" w:firstLineChars="200"/>
        <w:rPr>
          <w:rFonts w:hint="eastAsia" w:ascii="仿宋" w:hAnsi="仿宋" w:eastAsia="仿宋" w:cs="仿宋_GB2312"/>
          <w:sz w:val="28"/>
          <w:szCs w:val="28"/>
          <w:lang w:eastAsia="zh-CN"/>
        </w:rPr>
      </w:pPr>
      <w:r>
        <w:rPr>
          <w:rFonts w:hint="eastAsia" w:ascii="仿宋" w:hAnsi="仿宋" w:eastAsia="仿宋" w:cs="仿宋_GB2312"/>
          <w:sz w:val="28"/>
          <w:szCs w:val="28"/>
        </w:rPr>
        <w:t>本次招标</w:t>
      </w:r>
      <w:r>
        <w:rPr>
          <w:rFonts w:hint="eastAsia" w:ascii="仿宋" w:hAnsi="仿宋" w:eastAsia="仿宋" w:cs="仿宋_GB2312"/>
          <w:sz w:val="28"/>
          <w:szCs w:val="28"/>
          <w:lang w:eastAsia="zh-CN"/>
        </w:rPr>
        <w:t>仪器</w:t>
      </w:r>
      <w:r>
        <w:rPr>
          <w:rFonts w:hint="eastAsia" w:ascii="仿宋" w:hAnsi="仿宋" w:eastAsia="仿宋" w:cs="仿宋_GB2312"/>
          <w:sz w:val="28"/>
          <w:szCs w:val="28"/>
        </w:rPr>
        <w:t>的</w:t>
      </w:r>
      <w:r>
        <w:rPr>
          <w:rFonts w:hint="eastAsia" w:ascii="仿宋" w:hAnsi="仿宋" w:eastAsia="仿宋" w:cs="仿宋_GB2312"/>
          <w:sz w:val="28"/>
          <w:szCs w:val="28"/>
          <w:lang w:eastAsia="zh-CN"/>
        </w:rPr>
        <w:t>技术指标：（报价单见附件）</w:t>
      </w:r>
    </w:p>
    <w:tbl>
      <w:tblPr>
        <w:tblStyle w:val="4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12"/>
        <w:gridCol w:w="62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812" w:type="dxa"/>
            <w:vAlign w:val="top"/>
          </w:tcPr>
          <w:p>
            <w:pPr>
              <w:rPr>
                <w:rFonts w:hint="default"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设备名称</w:t>
            </w:r>
          </w:p>
        </w:tc>
        <w:tc>
          <w:tcPr>
            <w:tcW w:w="6219" w:type="dxa"/>
            <w:vAlign w:val="top"/>
          </w:tcPr>
          <w:p>
            <w:pPr>
              <w:rPr>
                <w:rFonts w:hint="default"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超薄件穿透测厚仪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812" w:type="dxa"/>
            <w:vAlign w:val="top"/>
          </w:tcPr>
          <w:p>
            <w:pPr>
              <w:rPr>
                <w:rFonts w:hint="default"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型号</w:t>
            </w:r>
          </w:p>
        </w:tc>
        <w:tc>
          <w:tcPr>
            <w:tcW w:w="6219" w:type="dxa"/>
            <w:vAlign w:val="top"/>
          </w:tcPr>
          <w:p>
            <w:pPr>
              <w:rPr>
                <w:rFonts w:hint="default"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UC730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812" w:type="dxa"/>
            <w:vAlign w:val="top"/>
          </w:tcPr>
          <w:p>
            <w:pPr>
              <w:rPr>
                <w:rFonts w:hint="default"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探头类型</w:t>
            </w:r>
          </w:p>
        </w:tc>
        <w:tc>
          <w:tcPr>
            <w:tcW w:w="6219" w:type="dxa"/>
            <w:vAlign w:val="top"/>
          </w:tcPr>
          <w:p>
            <w:pPr>
              <w:rPr>
                <w:rFonts w:hint="default"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单晶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2812" w:type="dxa"/>
            <w:vAlign w:val="top"/>
          </w:tcPr>
          <w:p>
            <w:pPr>
              <w:rPr>
                <w:rFonts w:hint="default"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测量范围</w:t>
            </w:r>
          </w:p>
        </w:tc>
        <w:tc>
          <w:tcPr>
            <w:tcW w:w="6219" w:type="dxa"/>
            <w:vAlign w:val="top"/>
          </w:tcPr>
          <w:p>
            <w:pPr>
              <w:rPr>
                <w:rFonts w:hint="eastAsia"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普通I-E模式：0.15mm~30mm(钢）</w:t>
            </w:r>
          </w:p>
          <w:p>
            <w:pPr>
              <w:rPr>
                <w:rFonts w:hint="default"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穿透E-E模式：0.5mm~10mm（钢），最大穿透涂层厚度0.5mm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812" w:type="dxa"/>
            <w:vAlign w:val="top"/>
          </w:tcPr>
          <w:p>
            <w:pPr>
              <w:rPr>
                <w:rFonts w:hint="default"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测量频率</w:t>
            </w:r>
          </w:p>
        </w:tc>
        <w:tc>
          <w:tcPr>
            <w:tcW w:w="6219" w:type="dxa"/>
            <w:vAlign w:val="top"/>
          </w:tcPr>
          <w:p>
            <w:pPr>
              <w:rPr>
                <w:rFonts w:hint="default"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15M、20M单晶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812" w:type="dxa"/>
            <w:vAlign w:val="top"/>
          </w:tcPr>
          <w:p>
            <w:pPr>
              <w:rPr>
                <w:rFonts w:hint="default"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显示分辨率</w:t>
            </w:r>
          </w:p>
        </w:tc>
        <w:tc>
          <w:tcPr>
            <w:tcW w:w="6219" w:type="dxa"/>
            <w:vAlign w:val="top"/>
          </w:tcPr>
          <w:p>
            <w:pPr>
              <w:rPr>
                <w:rFonts w:hint="default"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0.01mm、0.001mm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exact"/>
        </w:trPr>
        <w:tc>
          <w:tcPr>
            <w:tcW w:w="2812" w:type="dxa"/>
            <w:vAlign w:val="top"/>
          </w:tcPr>
          <w:p>
            <w:pPr>
              <w:rPr>
                <w:rFonts w:hint="eastAsia"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声速范围</w:t>
            </w:r>
          </w:p>
        </w:tc>
        <w:tc>
          <w:tcPr>
            <w:tcW w:w="6219" w:type="dxa"/>
            <w:vAlign w:val="top"/>
          </w:tcPr>
          <w:p>
            <w:pPr>
              <w:rPr>
                <w:rFonts w:hint="default"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1000-9999m/s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812" w:type="dxa"/>
            <w:vAlign w:val="top"/>
          </w:tcPr>
          <w:p>
            <w:pPr>
              <w:rPr>
                <w:rFonts w:hint="eastAsia"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显示</w:t>
            </w:r>
          </w:p>
        </w:tc>
        <w:tc>
          <w:tcPr>
            <w:tcW w:w="6219" w:type="dxa"/>
            <w:vAlign w:val="top"/>
          </w:tcPr>
          <w:p>
            <w:pPr>
              <w:rPr>
                <w:rFonts w:hint="default"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128*64LCD显示，LED背光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812" w:type="dxa"/>
            <w:vAlign w:val="top"/>
          </w:tcPr>
          <w:p>
            <w:pPr>
              <w:rPr>
                <w:rFonts w:hint="eastAsia"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示指误差</w:t>
            </w:r>
          </w:p>
        </w:tc>
        <w:tc>
          <w:tcPr>
            <w:tcW w:w="6219" w:type="dxa"/>
            <w:vAlign w:val="top"/>
          </w:tcPr>
          <w:p>
            <w:pPr>
              <w:rPr>
                <w:rFonts w:hint="default"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±0.005mm（5mm以下）±0.01mm(5-30mm)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812" w:type="dxa"/>
            <w:vAlign w:val="top"/>
          </w:tcPr>
          <w:p>
            <w:pPr>
              <w:rPr>
                <w:rFonts w:hint="eastAsia"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自动关机</w:t>
            </w:r>
          </w:p>
        </w:tc>
        <w:tc>
          <w:tcPr>
            <w:tcW w:w="6219" w:type="dxa"/>
            <w:vAlign w:val="top"/>
          </w:tcPr>
          <w:p>
            <w:pPr>
              <w:rPr>
                <w:rFonts w:hint="default"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5分钟无操作后自动关机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812" w:type="dxa"/>
            <w:vAlign w:val="top"/>
          </w:tcPr>
          <w:p>
            <w:pPr>
              <w:rPr>
                <w:rFonts w:hint="eastAsia"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工作温度</w:t>
            </w:r>
          </w:p>
        </w:tc>
        <w:tc>
          <w:tcPr>
            <w:tcW w:w="6219" w:type="dxa"/>
            <w:vAlign w:val="top"/>
          </w:tcPr>
          <w:p>
            <w:pPr>
              <w:rPr>
                <w:rFonts w:hint="default"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-10℃~+50℃，有特殊要求可达-20℃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exact"/>
        </w:trPr>
        <w:tc>
          <w:tcPr>
            <w:tcW w:w="2812" w:type="dxa"/>
            <w:vAlign w:val="top"/>
          </w:tcPr>
          <w:p>
            <w:pPr>
              <w:rPr>
                <w:rFonts w:hint="eastAsia"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工作电压</w:t>
            </w:r>
          </w:p>
        </w:tc>
        <w:tc>
          <w:tcPr>
            <w:tcW w:w="6219" w:type="dxa"/>
            <w:vAlign w:val="top"/>
          </w:tcPr>
          <w:p>
            <w:pPr>
              <w:rPr>
                <w:rFonts w:hint="default"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两节5#1.5V AA电池，当电量不足时，有低电压提示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exact"/>
        </w:trPr>
        <w:tc>
          <w:tcPr>
            <w:tcW w:w="2812" w:type="dxa"/>
            <w:vAlign w:val="top"/>
          </w:tcPr>
          <w:p>
            <w:pPr>
              <w:rPr>
                <w:rFonts w:hint="eastAsia"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操作时间</w:t>
            </w:r>
          </w:p>
        </w:tc>
        <w:tc>
          <w:tcPr>
            <w:tcW w:w="6219" w:type="dxa"/>
            <w:vAlign w:val="top"/>
          </w:tcPr>
          <w:p>
            <w:pPr>
              <w:rPr>
                <w:rFonts w:hint="default"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碱性电池最长可使用200小时（不使用背光）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812" w:type="dxa"/>
            <w:vAlign w:val="top"/>
          </w:tcPr>
          <w:p>
            <w:pPr>
              <w:rPr>
                <w:rFonts w:hint="eastAsia"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数据存储</w:t>
            </w:r>
          </w:p>
        </w:tc>
        <w:tc>
          <w:tcPr>
            <w:tcW w:w="6219" w:type="dxa"/>
            <w:vAlign w:val="top"/>
          </w:tcPr>
          <w:p>
            <w:pPr>
              <w:rPr>
                <w:rFonts w:hint="default"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500个数值存储功能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812" w:type="dxa"/>
            <w:vAlign w:val="top"/>
          </w:tcPr>
          <w:p>
            <w:pPr>
              <w:rPr>
                <w:rFonts w:hint="default"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默认储存声速</w:t>
            </w:r>
          </w:p>
        </w:tc>
        <w:tc>
          <w:tcPr>
            <w:tcW w:w="6219" w:type="dxa"/>
            <w:vAlign w:val="top"/>
          </w:tcPr>
          <w:p>
            <w:pPr>
              <w:rPr>
                <w:rFonts w:hint="default"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可存储5种不同材料的声速，并且连续特调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812" w:type="dxa"/>
            <w:vAlign w:val="top"/>
          </w:tcPr>
          <w:p>
            <w:pPr>
              <w:rPr>
                <w:rFonts w:hint="eastAsia"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外形尺寸</w:t>
            </w:r>
          </w:p>
        </w:tc>
        <w:tc>
          <w:tcPr>
            <w:tcW w:w="6219" w:type="dxa"/>
            <w:vAlign w:val="top"/>
          </w:tcPr>
          <w:p>
            <w:pPr>
              <w:rPr>
                <w:rFonts w:hint="default"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153*67*26mm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812" w:type="dxa"/>
            <w:vAlign w:val="top"/>
          </w:tcPr>
          <w:p>
            <w:pPr>
              <w:rPr>
                <w:rFonts w:hint="default"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整机重量</w:t>
            </w:r>
          </w:p>
        </w:tc>
        <w:tc>
          <w:tcPr>
            <w:tcW w:w="6219" w:type="dxa"/>
            <w:vAlign w:val="top"/>
          </w:tcPr>
          <w:p>
            <w:pPr>
              <w:rPr>
                <w:rFonts w:hint="default"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220g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exact"/>
        </w:trPr>
        <w:tc>
          <w:tcPr>
            <w:tcW w:w="2812" w:type="dxa"/>
            <w:vAlign w:val="top"/>
          </w:tcPr>
          <w:p>
            <w:pPr>
              <w:rPr>
                <w:rFonts w:hint="eastAsia"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标准配置</w:t>
            </w:r>
          </w:p>
        </w:tc>
        <w:tc>
          <w:tcPr>
            <w:tcW w:w="6219" w:type="dxa"/>
            <w:vAlign w:val="top"/>
          </w:tcPr>
          <w:p>
            <w:pPr>
              <w:rPr>
                <w:rFonts w:hint="default"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主机1台、15M单晶探头1支、延迟块1个、耦合剂1瓶、5号电池2节、文件1套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812" w:type="dxa"/>
            <w:vAlign w:val="top"/>
          </w:tcPr>
          <w:p>
            <w:pPr>
              <w:rPr>
                <w:rFonts w:hint="eastAsia"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可选配置</w:t>
            </w:r>
          </w:p>
        </w:tc>
        <w:tc>
          <w:tcPr>
            <w:tcW w:w="6219" w:type="dxa"/>
            <w:vAlign w:val="top"/>
          </w:tcPr>
          <w:p>
            <w:pPr>
              <w:rPr>
                <w:rFonts w:hint="default"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数据传输线</w:t>
            </w:r>
          </w:p>
        </w:tc>
      </w:tr>
    </w:tbl>
    <w:p>
      <w:pPr>
        <w:ind w:firstLine="560" w:firstLineChars="200"/>
        <w:rPr>
          <w:rFonts w:hint="default" w:ascii="仿宋" w:hAnsi="仿宋" w:eastAsia="仿宋" w:cs="仿宋_GB2312"/>
          <w:sz w:val="28"/>
          <w:szCs w:val="28"/>
          <w:lang w:val="en-US" w:eastAsia="zh-CN"/>
        </w:rPr>
      </w:pPr>
    </w:p>
    <w:p>
      <w:pPr>
        <w:rPr>
          <w:rFonts w:ascii="仿宋" w:hAnsi="仿宋" w:eastAsia="仿宋" w:cs="仿宋_GB2312"/>
          <w:sz w:val="28"/>
          <w:szCs w:val="28"/>
        </w:rPr>
      </w:pPr>
    </w:p>
    <w:p>
      <w:pPr>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auto"/>
        <w:rPr>
          <w:rFonts w:hint="eastAsia" w:ascii="仿宋" w:hAnsi="仿宋" w:eastAsia="仿宋" w:cs="仿宋_GB2312"/>
          <w:b/>
          <w:sz w:val="36"/>
          <w:szCs w:val="36"/>
        </w:rPr>
      </w:pPr>
    </w:p>
    <w:p>
      <w:pPr>
        <w:rPr>
          <w:rFonts w:hint="eastAsia" w:ascii="仿宋" w:hAnsi="仿宋" w:eastAsia="仿宋" w:cs="仿宋_GB2312"/>
          <w:b/>
          <w:sz w:val="36"/>
          <w:szCs w:val="36"/>
        </w:rPr>
      </w:pPr>
      <w:r>
        <w:rPr>
          <w:rFonts w:hint="eastAsia" w:ascii="仿宋" w:hAnsi="仿宋" w:eastAsia="仿宋" w:cs="仿宋_GB2312"/>
          <w:b/>
          <w:sz w:val="36"/>
          <w:szCs w:val="36"/>
        </w:rPr>
        <w:br w:type="page"/>
      </w:r>
    </w:p>
    <w:p>
      <w:pPr>
        <w:keepNext w:val="0"/>
        <w:keepLines w:val="0"/>
        <w:pageBreakBefore w:val="0"/>
        <w:widowControl w:val="0"/>
        <w:kinsoku/>
        <w:wordWrap/>
        <w:overflowPunct/>
        <w:topLinePunct w:val="0"/>
        <w:autoSpaceDE/>
        <w:autoSpaceDN/>
        <w:bidi w:val="0"/>
        <w:adjustRightInd/>
        <w:snapToGrid/>
        <w:spacing w:before="313" w:beforeLines="100" w:after="157" w:afterLines="50"/>
        <w:jc w:val="center"/>
        <w:textAlignment w:val="auto"/>
        <w:rPr>
          <w:rFonts w:hint="eastAsia" w:ascii="仿宋" w:hAnsi="仿宋" w:eastAsia="仿宋" w:cs="仿宋_GB2312"/>
          <w:b/>
          <w:sz w:val="36"/>
          <w:szCs w:val="36"/>
        </w:rPr>
      </w:pPr>
      <w:r>
        <w:rPr>
          <w:rFonts w:hint="eastAsia" w:ascii="仿宋" w:hAnsi="仿宋" w:eastAsia="仿宋" w:cs="仿宋_GB2312"/>
          <w:b/>
          <w:sz w:val="36"/>
          <w:szCs w:val="36"/>
        </w:rPr>
        <w:t>三、投标人资格要求</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2、投标人须为一般纳税人或小规模纳税人。</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4、投标人营业执照所列示的经营范围必须涵盖本次招标</w:t>
      </w:r>
      <w:r>
        <w:rPr>
          <w:rFonts w:hint="eastAsia" w:ascii="仿宋" w:hAnsi="仿宋" w:eastAsia="仿宋" w:cs="仿宋_GB2312"/>
          <w:sz w:val="28"/>
          <w:szCs w:val="28"/>
          <w:lang w:eastAsia="zh-CN"/>
        </w:rPr>
        <w:t>内容</w:t>
      </w:r>
      <w:r>
        <w:rPr>
          <w:rFonts w:hint="eastAsia" w:ascii="仿宋" w:hAnsi="仿宋" w:eastAsia="仿宋" w:cs="仿宋_GB2312"/>
          <w:sz w:val="28"/>
          <w:szCs w:val="28"/>
        </w:rPr>
        <w:t>。</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5、有生产经营和安全许可要求的，必须有相应有效的许可证。</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6、投标人近三年无重大失信和违法、违纪行为等不良记录。</w:t>
      </w:r>
    </w:p>
    <w:p>
      <w:pPr>
        <w:keepNext w:val="0"/>
        <w:keepLines w:val="0"/>
        <w:pageBreakBefore w:val="0"/>
        <w:widowControl w:val="0"/>
        <w:kinsoku/>
        <w:wordWrap/>
        <w:overflowPunct/>
        <w:topLinePunct w:val="0"/>
        <w:autoSpaceDE/>
        <w:autoSpaceDN/>
        <w:bidi w:val="0"/>
        <w:adjustRightInd/>
        <w:snapToGrid/>
        <w:spacing w:before="313" w:beforeLines="100" w:after="157" w:afterLines="50"/>
        <w:jc w:val="center"/>
        <w:textAlignment w:val="auto"/>
        <w:rPr>
          <w:rFonts w:hint="eastAsia"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w:t>
      </w:r>
      <w:r>
        <w:rPr>
          <w:rFonts w:ascii="仿宋" w:hAnsi="仿宋" w:eastAsia="仿宋" w:cs="仿宋_GB2312"/>
          <w:sz w:val="28"/>
          <w:szCs w:val="28"/>
        </w:rPr>
        <w:t>http://www.tltgja.com.cn/</w:t>
      </w:r>
      <w:r>
        <w:rPr>
          <w:rFonts w:hint="eastAsia" w:ascii="仿宋" w:hAnsi="仿宋" w:eastAsia="仿宋" w:cs="仿宋_GB2312"/>
          <w:sz w:val="28"/>
          <w:szCs w:val="28"/>
        </w:rPr>
        <w:t>）在线招标--</w:t>
      </w:r>
      <w:r>
        <w:rPr>
          <w:rFonts w:hint="eastAsia" w:ascii="仿宋" w:hAnsi="仿宋" w:eastAsia="仿宋" w:cs="仿宋_GB2312"/>
          <w:sz w:val="28"/>
          <w:szCs w:val="28"/>
          <w:lang w:eastAsia="zh-CN"/>
        </w:rPr>
        <w:t>机械运输</w:t>
      </w:r>
      <w:r>
        <w:rPr>
          <w:rFonts w:hint="eastAsia" w:ascii="仿宋" w:hAnsi="仿宋" w:eastAsia="仿宋" w:cs="仿宋_GB2312"/>
          <w:sz w:val="28"/>
          <w:szCs w:val="28"/>
        </w:rPr>
        <w:t>招标上发布。招标公告请投标人自行下载。</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keepNext w:val="0"/>
        <w:keepLines w:val="0"/>
        <w:pageBreakBefore w:val="0"/>
        <w:widowControl w:val="0"/>
        <w:kinsoku/>
        <w:wordWrap/>
        <w:overflowPunct/>
        <w:topLinePunct w:val="0"/>
        <w:autoSpaceDE/>
        <w:autoSpaceDN/>
        <w:bidi w:val="0"/>
        <w:adjustRightInd/>
        <w:snapToGrid/>
        <w:spacing w:before="313" w:beforeLines="100" w:after="157" w:afterLines="50"/>
        <w:jc w:val="center"/>
        <w:textAlignment w:val="auto"/>
        <w:rPr>
          <w:rFonts w:hint="eastAsia" w:ascii="仿宋" w:hAnsi="仿宋" w:eastAsia="仿宋" w:cs="仿宋_GB2312"/>
          <w:b/>
          <w:sz w:val="36"/>
          <w:szCs w:val="36"/>
        </w:rPr>
      </w:pPr>
      <w:r>
        <w:rPr>
          <w:rFonts w:hint="eastAsia" w:ascii="仿宋" w:hAnsi="仿宋" w:eastAsia="仿宋" w:cs="仿宋_GB2312"/>
          <w:b/>
          <w:sz w:val="36"/>
          <w:szCs w:val="36"/>
          <w:lang w:eastAsia="zh-CN"/>
        </w:rPr>
        <w:t>五</w:t>
      </w:r>
      <w:r>
        <w:rPr>
          <w:rFonts w:hint="eastAsia" w:ascii="仿宋" w:hAnsi="仿宋" w:eastAsia="仿宋" w:cs="仿宋_GB2312"/>
          <w:b/>
          <w:sz w:val="36"/>
          <w:szCs w:val="36"/>
        </w:rPr>
        <w:t>、 投标文件的递交</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1</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31</w:t>
      </w:r>
      <w:r>
        <w:rPr>
          <w:rFonts w:hint="eastAsia" w:ascii="仿宋" w:hAnsi="仿宋" w:eastAsia="仿宋" w:cs="仿宋_GB2312"/>
          <w:sz w:val="28"/>
          <w:szCs w:val="28"/>
          <w:u w:val="single"/>
        </w:rPr>
        <w:t>日</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:00</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2、投标文件递交地点：</w:t>
      </w:r>
      <w:r>
        <w:rPr>
          <w:rFonts w:hint="eastAsia" w:ascii="仿宋" w:hAnsi="仿宋" w:eastAsia="仿宋" w:cs="仿宋_GB2312"/>
          <w:sz w:val="28"/>
          <w:szCs w:val="28"/>
          <w:u w:val="single"/>
        </w:rPr>
        <w:t>铜陵有色金属集团铜冠建筑安装股份有限公司经营部（铜陵市铜官区长江西路2571号主楼三楼）</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4、逾期送达的或未按规定送达指定地点的投标文件，招标人不予受理。</w:t>
      </w:r>
    </w:p>
    <w:p>
      <w:pPr>
        <w:keepNext w:val="0"/>
        <w:keepLines w:val="0"/>
        <w:pageBreakBefore w:val="0"/>
        <w:widowControl w:val="0"/>
        <w:kinsoku/>
        <w:wordWrap/>
        <w:overflowPunct/>
        <w:topLinePunct w:val="0"/>
        <w:autoSpaceDE/>
        <w:autoSpaceDN/>
        <w:bidi w:val="0"/>
        <w:adjustRightInd/>
        <w:snapToGrid/>
        <w:spacing w:before="157" w:beforeLines="50" w:after="157" w:afterLines="50"/>
        <w:jc w:val="both"/>
        <w:textAlignment w:val="auto"/>
        <w:rPr>
          <w:rFonts w:hint="eastAsia" w:ascii="仿宋" w:hAnsi="仿宋" w:eastAsia="仿宋" w:cs="仿宋_GB2312"/>
          <w:b/>
          <w:sz w:val="36"/>
          <w:szCs w:val="36"/>
          <w:lang w:eastAsia="zh-CN"/>
        </w:rPr>
      </w:pPr>
    </w:p>
    <w:p>
      <w:pPr>
        <w:keepNext w:val="0"/>
        <w:keepLines w:val="0"/>
        <w:pageBreakBefore w:val="0"/>
        <w:widowControl w:val="0"/>
        <w:kinsoku/>
        <w:wordWrap/>
        <w:overflowPunct/>
        <w:topLinePunct w:val="0"/>
        <w:autoSpaceDE/>
        <w:autoSpaceDN/>
        <w:bidi w:val="0"/>
        <w:adjustRightInd/>
        <w:snapToGrid/>
        <w:spacing w:before="313" w:beforeLines="100" w:after="157" w:afterLines="50"/>
        <w:jc w:val="center"/>
        <w:textAlignment w:val="auto"/>
        <w:rPr>
          <w:rFonts w:hint="eastAsia" w:ascii="仿宋" w:hAnsi="仿宋" w:eastAsia="仿宋" w:cs="仿宋_GB2312"/>
          <w:b/>
          <w:sz w:val="36"/>
          <w:szCs w:val="36"/>
        </w:rPr>
      </w:pPr>
      <w:r>
        <w:rPr>
          <w:rFonts w:hint="eastAsia" w:ascii="仿宋" w:hAnsi="仿宋" w:eastAsia="仿宋" w:cs="仿宋_GB2312"/>
          <w:b/>
          <w:sz w:val="36"/>
          <w:szCs w:val="36"/>
          <w:lang w:eastAsia="zh-CN"/>
        </w:rPr>
        <w:t>六</w:t>
      </w:r>
      <w:r>
        <w:rPr>
          <w:rFonts w:hint="eastAsia" w:ascii="仿宋" w:hAnsi="仿宋" w:eastAsia="仿宋" w:cs="仿宋_GB2312"/>
          <w:b/>
          <w:sz w:val="36"/>
          <w:szCs w:val="36"/>
        </w:rPr>
        <w:t>、投标人须知</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1</w:t>
      </w:r>
      <w:r>
        <w:rPr>
          <w:rFonts w:hint="eastAsia" w:ascii="仿宋" w:hAnsi="仿宋" w:eastAsia="仿宋" w:cs="仿宋_GB2312"/>
          <w:sz w:val="28"/>
          <w:szCs w:val="28"/>
        </w:rPr>
        <w:t>）投标人如若中标，提供的</w:t>
      </w:r>
      <w:r>
        <w:rPr>
          <w:rFonts w:hint="eastAsia" w:ascii="仿宋" w:hAnsi="仿宋" w:eastAsia="仿宋" w:cs="仿宋_GB2312"/>
          <w:sz w:val="28"/>
          <w:szCs w:val="28"/>
          <w:lang w:eastAsia="zh-CN"/>
        </w:rPr>
        <w:t>设备</w:t>
      </w:r>
      <w:r>
        <w:rPr>
          <w:rFonts w:hint="eastAsia" w:ascii="仿宋" w:hAnsi="仿宋" w:eastAsia="仿宋" w:cs="仿宋_GB2312"/>
          <w:sz w:val="28"/>
          <w:szCs w:val="28"/>
        </w:rPr>
        <w:t>必须符合技术指标要求。</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2</w:t>
      </w:r>
      <w:r>
        <w:rPr>
          <w:rFonts w:hint="eastAsia" w:ascii="仿宋" w:hAnsi="仿宋" w:eastAsia="仿宋" w:cs="仿宋_GB2312"/>
          <w:sz w:val="28"/>
          <w:szCs w:val="28"/>
        </w:rPr>
        <w:t>）若达不到招标人要求的，中标人无条件将该批货物拉回且不计货款，动用招标人机械的收取相应费用。</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_GB2312"/>
          <w:sz w:val="28"/>
          <w:szCs w:val="28"/>
          <w:u w:val="single"/>
          <w:lang w:eastAsia="zh-CN"/>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3</w:t>
      </w:r>
      <w:r>
        <w:rPr>
          <w:rFonts w:hint="eastAsia" w:ascii="仿宋" w:hAnsi="仿宋" w:eastAsia="仿宋" w:cs="仿宋_GB2312"/>
          <w:sz w:val="28"/>
          <w:szCs w:val="28"/>
        </w:rPr>
        <w:t>）</w:t>
      </w:r>
      <w:r>
        <w:rPr>
          <w:rFonts w:hint="eastAsia" w:ascii="仿宋" w:hAnsi="仿宋" w:eastAsia="仿宋" w:cs="仿宋_GB2312"/>
          <w:sz w:val="28"/>
          <w:szCs w:val="28"/>
          <w:u w:val="single"/>
        </w:rPr>
        <w:t>报价为含税（税率必须注明）、含运费（至安徽铜陵</w:t>
      </w:r>
      <w:r>
        <w:rPr>
          <w:rFonts w:hint="eastAsia" w:ascii="仿宋" w:hAnsi="仿宋" w:eastAsia="仿宋" w:cs="仿宋_GB2312"/>
          <w:sz w:val="28"/>
          <w:szCs w:val="28"/>
          <w:u w:val="single"/>
          <w:lang w:eastAsia="zh-CN"/>
        </w:rPr>
        <w:t>指定地点）。</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ascii="仿宋" w:hAnsi="仿宋" w:eastAsia="仿宋" w:cs="仿宋_GB2312"/>
          <w:sz w:val="28"/>
          <w:szCs w:val="28"/>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4</w:t>
      </w:r>
      <w:r>
        <w:rPr>
          <w:rFonts w:hint="eastAsia" w:ascii="仿宋" w:hAnsi="仿宋" w:eastAsia="仿宋" w:cs="仿宋_GB2312"/>
          <w:sz w:val="28"/>
          <w:szCs w:val="28"/>
        </w:rPr>
        <w:t>）各投标单位在投标报价前应仔细审阅招标公告、报价表及报价说明等与此次报价相关的所有资料。报价要谨慎，一旦中标，视为理解并考虑了我公司一切要求的报价，不得以任何理由变更。</w:t>
      </w:r>
    </w:p>
    <w:p>
      <w:pPr>
        <w:ind w:firstLine="565" w:firstLineChars="202"/>
        <w:rPr>
          <w:rFonts w:ascii="仿宋" w:hAnsi="仿宋" w:eastAsia="仿宋" w:cs="仿宋_GB2312"/>
          <w:sz w:val="28"/>
          <w:szCs w:val="28"/>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5</w:t>
      </w:r>
      <w:r>
        <w:rPr>
          <w:rFonts w:hint="eastAsia" w:ascii="仿宋" w:hAnsi="仿宋" w:eastAsia="仿宋" w:cs="仿宋_GB2312"/>
          <w:sz w:val="28"/>
          <w:szCs w:val="28"/>
        </w:rPr>
        <w:t>）投标人法定代表人应在报价单相应位置签字及加盖公章，如经办人不是法人代表，须提供本人身份证复印件、法人身份证复印件及有法人代表签字的《法人代表授权书》并加盖公章作为投标资料的一部分。以上事项不符合要求的视为无效投标。</w:t>
      </w:r>
    </w:p>
    <w:p>
      <w:pPr>
        <w:ind w:firstLine="565" w:firstLineChars="202"/>
        <w:rPr>
          <w:rFonts w:ascii="仿宋" w:hAnsi="仿宋" w:eastAsia="仿宋" w:cs="仿宋_GB2312"/>
          <w:sz w:val="28"/>
          <w:szCs w:val="28"/>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6</w:t>
      </w:r>
      <w:r>
        <w:rPr>
          <w:rFonts w:hint="eastAsia" w:ascii="仿宋" w:hAnsi="仿宋" w:eastAsia="仿宋" w:cs="仿宋_GB2312"/>
          <w:sz w:val="28"/>
          <w:szCs w:val="28"/>
        </w:rPr>
        <w:t>）投标文件密封袋封口处应密封完整，加盖投标单位公章，并且注明招标编号及</w:t>
      </w:r>
      <w:r>
        <w:rPr>
          <w:rFonts w:hint="eastAsia" w:ascii="仿宋" w:hAnsi="仿宋" w:eastAsia="仿宋" w:cs="仿宋_GB2312"/>
          <w:sz w:val="28"/>
          <w:szCs w:val="28"/>
          <w:lang w:eastAsia="zh-CN"/>
        </w:rPr>
        <w:t>设备</w:t>
      </w:r>
      <w:r>
        <w:rPr>
          <w:rFonts w:hint="eastAsia" w:ascii="仿宋" w:hAnsi="仿宋" w:eastAsia="仿宋" w:cs="仿宋_GB2312"/>
          <w:sz w:val="28"/>
          <w:szCs w:val="28"/>
        </w:rPr>
        <w:t>名称。因投标人制作、密封、寄送报价文件不符合要求的视为无效投标。</w:t>
      </w:r>
    </w:p>
    <w:p>
      <w:pPr>
        <w:ind w:firstLine="565" w:firstLineChars="202"/>
        <w:rPr>
          <w:rFonts w:ascii="仿宋" w:hAnsi="仿宋" w:eastAsia="仿宋" w:cs="仿宋_GB2312"/>
          <w:b/>
          <w:sz w:val="36"/>
          <w:szCs w:val="36"/>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7</w:t>
      </w:r>
      <w:r>
        <w:rPr>
          <w:rFonts w:hint="eastAsia" w:ascii="仿宋" w:hAnsi="仿宋" w:eastAsia="仿宋" w:cs="仿宋_GB2312"/>
          <w:sz w:val="28"/>
          <w:szCs w:val="28"/>
        </w:rPr>
        <w:t>）投标人首次投标时需提供加盖公章的营业执照副本的复印件及其它资质资料。</w:t>
      </w:r>
    </w:p>
    <w:p>
      <w:pPr>
        <w:keepNext w:val="0"/>
        <w:keepLines w:val="0"/>
        <w:pageBreakBefore w:val="0"/>
        <w:widowControl w:val="0"/>
        <w:kinsoku/>
        <w:wordWrap/>
        <w:overflowPunct/>
        <w:topLinePunct w:val="0"/>
        <w:autoSpaceDE/>
        <w:autoSpaceDN/>
        <w:bidi w:val="0"/>
        <w:adjustRightInd/>
        <w:snapToGrid/>
        <w:spacing w:before="313" w:beforeLines="100" w:after="157" w:afterLines="50"/>
        <w:jc w:val="center"/>
        <w:textAlignment w:val="auto"/>
        <w:rPr>
          <w:rFonts w:hint="eastAsia" w:ascii="仿宋" w:hAnsi="仿宋" w:eastAsia="仿宋" w:cs="仿宋_GB2312"/>
          <w:b/>
          <w:sz w:val="36"/>
          <w:szCs w:val="36"/>
        </w:rPr>
      </w:pPr>
      <w:r>
        <w:rPr>
          <w:rFonts w:hint="eastAsia" w:ascii="仿宋" w:hAnsi="仿宋" w:eastAsia="仿宋" w:cs="仿宋_GB2312"/>
          <w:b/>
          <w:sz w:val="36"/>
          <w:szCs w:val="36"/>
          <w:lang w:eastAsia="zh-CN"/>
        </w:rPr>
        <w:t>七</w:t>
      </w:r>
      <w:r>
        <w:rPr>
          <w:rFonts w:hint="eastAsia" w:ascii="仿宋" w:hAnsi="仿宋" w:eastAsia="仿宋" w:cs="仿宋_GB2312"/>
          <w:b/>
          <w:sz w:val="36"/>
          <w:szCs w:val="36"/>
        </w:rPr>
        <w:t>、评标及中标履约要求</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1、评标由审计监察室随机临时确定评委并组建的评标委员会负责。</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3、评标：</w:t>
      </w:r>
      <w:r>
        <w:rPr>
          <w:rFonts w:hint="eastAsia" w:ascii="仿宋" w:hAnsi="仿宋" w:eastAsia="仿宋" w:cs="仿宋_GB2312"/>
          <w:sz w:val="28"/>
          <w:szCs w:val="28"/>
          <w:u w:val="single"/>
        </w:rPr>
        <w:t>本次评标以价格为评标依据，采取“合理低价法”评标。即以经评委会审核，剔除偏离市场行情较大的恶意报价后的报价进行排序，其中价格最低的报价单位为预中标单位。</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4、中标候选人推荐：</w:t>
      </w:r>
      <w:r>
        <w:rPr>
          <w:rFonts w:hint="eastAsia" w:ascii="仿宋" w:hAnsi="仿宋" w:eastAsia="仿宋" w:cs="仿宋_GB2312"/>
          <w:sz w:val="28"/>
          <w:szCs w:val="28"/>
          <w:u w:val="single"/>
        </w:rPr>
        <w:t>评标委员会依据评标结果推荐一名中标候选人。</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6、招标人和中标人应当自中标通知书发出之日起三十日内，按照招标文件和中标人的投标文件订立书面合同，招标人和中标人不得再行订立背离本次招标实质性内容的其他协议。</w:t>
      </w:r>
    </w:p>
    <w:p>
      <w:pPr>
        <w:keepNext w:val="0"/>
        <w:keepLines w:val="0"/>
        <w:pageBreakBefore w:val="0"/>
        <w:widowControl w:val="0"/>
        <w:kinsoku/>
        <w:wordWrap/>
        <w:overflowPunct/>
        <w:topLinePunct w:val="0"/>
        <w:autoSpaceDE/>
        <w:autoSpaceDN/>
        <w:bidi w:val="0"/>
        <w:adjustRightInd/>
        <w:snapToGrid/>
        <w:spacing w:before="313" w:beforeLines="100" w:after="157" w:afterLines="50"/>
        <w:jc w:val="center"/>
        <w:textAlignment w:val="auto"/>
        <w:rPr>
          <w:rFonts w:hint="eastAsia" w:ascii="仿宋" w:hAnsi="仿宋" w:eastAsia="仿宋" w:cs="仿宋_GB2312"/>
          <w:b/>
          <w:sz w:val="36"/>
          <w:szCs w:val="36"/>
        </w:rPr>
      </w:pPr>
      <w:r>
        <w:rPr>
          <w:rFonts w:hint="eastAsia" w:ascii="仿宋" w:hAnsi="仿宋" w:eastAsia="仿宋" w:cs="仿宋_GB2312"/>
          <w:b/>
          <w:sz w:val="36"/>
          <w:szCs w:val="36"/>
          <w:lang w:eastAsia="zh-CN"/>
        </w:rPr>
        <w:t>八</w:t>
      </w:r>
      <w:r>
        <w:rPr>
          <w:rFonts w:hint="eastAsia" w:ascii="仿宋" w:hAnsi="仿宋" w:eastAsia="仿宋" w:cs="仿宋_GB2312"/>
          <w:b/>
          <w:sz w:val="36"/>
          <w:szCs w:val="36"/>
        </w:rPr>
        <w:t>、纪律和监督</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一经确认将取消其今后参加我公司招标的资格，列入供应商黑名单。</w:t>
      </w:r>
    </w:p>
    <w:p>
      <w:pPr>
        <w:spacing w:line="600" w:lineRule="exact"/>
        <w:ind w:firstLine="560" w:firstLineChars="200"/>
        <w:rPr>
          <w:rFonts w:ascii="仿宋" w:hAnsi="仿宋" w:eastAsia="仿宋" w:cs="仿宋_GB2312"/>
          <w:sz w:val="28"/>
          <w:szCs w:val="28"/>
          <w:u w:val="single"/>
        </w:rPr>
      </w:pPr>
    </w:p>
    <w:p>
      <w:pPr>
        <w:spacing w:line="600" w:lineRule="exact"/>
        <w:rPr>
          <w:rFonts w:ascii="仿宋" w:hAnsi="仿宋" w:eastAsia="仿宋" w:cs="仿宋_GB2312"/>
          <w:sz w:val="28"/>
          <w:szCs w:val="28"/>
          <w:u w:val="single"/>
        </w:rPr>
        <w:sectPr>
          <w:headerReference r:id="rId3" w:type="default"/>
          <w:footerReference r:id="rId4" w:type="default"/>
          <w:pgSz w:w="11906" w:h="16838"/>
          <w:pgMar w:top="312" w:right="1469" w:bottom="709" w:left="1338" w:header="851" w:footer="273" w:gutter="284"/>
          <w:cols w:space="720" w:num="1"/>
          <w:docGrid w:type="lines" w:linePitch="312" w:charSpace="0"/>
        </w:sectPr>
      </w:pPr>
    </w:p>
    <w:p>
      <w:pPr>
        <w:jc w:val="left"/>
        <w:rPr>
          <w:rFonts w:ascii="仿宋_GB2312" w:hAnsi="仿宋_GB2312" w:eastAsia="仿宋_GB2312" w:cs="仿宋_GB2312"/>
          <w:sz w:val="30"/>
          <w:szCs w:val="30"/>
        </w:rPr>
      </w:pPr>
      <w:r>
        <w:rPr>
          <w:rStyle w:val="48"/>
          <w:rFonts w:hint="eastAsia" w:ascii="仿宋_GB2312" w:hAnsi="仿宋_GB2312" w:eastAsia="仿宋_GB2312" w:cs="仿宋_GB2312"/>
          <w:color w:val="333333"/>
          <w:sz w:val="30"/>
          <w:szCs w:val="30"/>
          <w:lang w:eastAsia="zh-CN"/>
        </w:rPr>
        <w:t>附件：</w:t>
      </w:r>
      <w:r>
        <w:rPr>
          <w:rStyle w:val="48"/>
          <w:rFonts w:hint="eastAsia" w:ascii="仿宋_GB2312" w:hAnsi="仿宋_GB2312" w:eastAsia="仿宋_GB2312" w:cs="仿宋_GB2312"/>
          <w:color w:val="333333"/>
          <w:sz w:val="30"/>
          <w:szCs w:val="30"/>
        </w:rPr>
        <w:t>报价单</w:t>
      </w:r>
      <w:r>
        <w:rPr>
          <w:rStyle w:val="48"/>
          <w:rFonts w:hint="eastAsia" w:ascii="仿宋_GB2312" w:hAnsi="仿宋_GB2312" w:eastAsia="仿宋_GB2312" w:cs="仿宋_GB2312"/>
          <w:color w:val="333333"/>
          <w:sz w:val="30"/>
          <w:szCs w:val="30"/>
          <w:lang w:eastAsia="zh-CN"/>
        </w:rPr>
        <w:t>（</w:t>
      </w:r>
      <w:r>
        <w:rPr>
          <w:rFonts w:hint="eastAsia" w:ascii="仿宋" w:hAnsi="仿宋" w:eastAsia="仿宋" w:cs="仿宋_GB2312"/>
          <w:b/>
          <w:bCs/>
          <w:sz w:val="32"/>
          <w:szCs w:val="32"/>
          <w:u w:val="none"/>
        </w:rPr>
        <w:t>TGJA</w:t>
      </w:r>
      <w:r>
        <w:rPr>
          <w:rFonts w:hint="eastAsia" w:ascii="仿宋" w:hAnsi="仿宋" w:eastAsia="仿宋" w:cs="仿宋_GB2312"/>
          <w:b/>
          <w:bCs/>
          <w:sz w:val="32"/>
          <w:szCs w:val="32"/>
          <w:u w:val="none"/>
          <w:lang w:val="en-US" w:eastAsia="zh-CN"/>
        </w:rPr>
        <w:t>-</w:t>
      </w:r>
      <w:r>
        <w:rPr>
          <w:rFonts w:hint="eastAsia" w:ascii="仿宋" w:hAnsi="仿宋" w:eastAsia="仿宋" w:cs="仿宋_GB2312"/>
          <w:b/>
          <w:bCs/>
          <w:sz w:val="32"/>
          <w:szCs w:val="32"/>
          <w:u w:val="none"/>
        </w:rPr>
        <w:t>JX</w:t>
      </w:r>
      <w:r>
        <w:rPr>
          <w:rFonts w:hint="eastAsia" w:ascii="仿宋" w:hAnsi="仿宋" w:eastAsia="仿宋" w:cs="仿宋_GB2312"/>
          <w:b/>
          <w:bCs/>
          <w:sz w:val="32"/>
          <w:szCs w:val="32"/>
          <w:u w:val="none"/>
          <w:lang w:val="en-US" w:eastAsia="zh-CN"/>
        </w:rPr>
        <w:t>-</w:t>
      </w:r>
      <w:r>
        <w:rPr>
          <w:rFonts w:hint="eastAsia" w:ascii="仿宋" w:hAnsi="仿宋" w:eastAsia="仿宋" w:cs="仿宋_GB2312"/>
          <w:b/>
          <w:bCs/>
          <w:sz w:val="32"/>
          <w:szCs w:val="32"/>
          <w:u w:val="none"/>
        </w:rPr>
        <w:t>202</w:t>
      </w:r>
      <w:r>
        <w:rPr>
          <w:rFonts w:hint="eastAsia" w:ascii="仿宋" w:hAnsi="仿宋" w:eastAsia="仿宋" w:cs="仿宋_GB2312"/>
          <w:b/>
          <w:bCs/>
          <w:sz w:val="32"/>
          <w:szCs w:val="32"/>
          <w:u w:val="none"/>
          <w:lang w:val="en-US" w:eastAsia="zh-CN"/>
        </w:rPr>
        <w:t>1</w:t>
      </w:r>
      <w:r>
        <w:rPr>
          <w:rFonts w:hint="eastAsia" w:ascii="仿宋" w:hAnsi="仿宋" w:eastAsia="仿宋" w:cs="仿宋_GB2312"/>
          <w:b/>
          <w:bCs/>
          <w:sz w:val="32"/>
          <w:szCs w:val="32"/>
          <w:u w:val="none"/>
        </w:rPr>
        <w:t>-0</w:t>
      </w:r>
      <w:r>
        <w:rPr>
          <w:rFonts w:hint="eastAsia" w:ascii="仿宋" w:hAnsi="仿宋" w:eastAsia="仿宋" w:cs="仿宋_GB2312"/>
          <w:b/>
          <w:bCs/>
          <w:sz w:val="32"/>
          <w:szCs w:val="32"/>
          <w:u w:val="none"/>
          <w:lang w:val="en-US" w:eastAsia="zh-CN"/>
        </w:rPr>
        <w:t>4）</w:t>
      </w:r>
    </w:p>
    <w:tbl>
      <w:tblPr>
        <w:tblStyle w:val="45"/>
        <w:tblpPr w:leftFromText="180" w:rightFromText="180" w:vertAnchor="text" w:horzAnchor="page" w:tblpX="1663" w:tblpY="174"/>
        <w:tblOverlap w:val="never"/>
        <w:tblW w:w="139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5"/>
        <w:gridCol w:w="2115"/>
        <w:gridCol w:w="1478"/>
        <w:gridCol w:w="718"/>
        <w:gridCol w:w="709"/>
        <w:gridCol w:w="1265"/>
        <w:gridCol w:w="112"/>
        <w:gridCol w:w="1268"/>
        <w:gridCol w:w="1200"/>
        <w:gridCol w:w="1245"/>
        <w:gridCol w:w="33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5" w:type="dxa"/>
            <w:shd w:val="clear" w:color="auto" w:fill="FFFFFF"/>
            <w:noWrap w:val="0"/>
            <w:vAlign w:val="center"/>
          </w:tcPr>
          <w:p>
            <w:pPr>
              <w:widowControl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序号</w:t>
            </w:r>
          </w:p>
        </w:tc>
        <w:tc>
          <w:tcPr>
            <w:tcW w:w="2115" w:type="dxa"/>
            <w:shd w:val="clear" w:color="auto" w:fill="FFFFFF"/>
            <w:noWrap w:val="0"/>
            <w:vAlign w:val="center"/>
          </w:tcPr>
          <w:p>
            <w:pPr>
              <w:widowControl w:val="0"/>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设备名称</w:t>
            </w:r>
          </w:p>
        </w:tc>
        <w:tc>
          <w:tcPr>
            <w:tcW w:w="1478" w:type="dxa"/>
            <w:shd w:val="clear" w:color="auto" w:fill="FFFFFF"/>
            <w:noWrap w:val="0"/>
            <w:vAlign w:val="center"/>
          </w:tcPr>
          <w:p>
            <w:pPr>
              <w:widowControl w:val="0"/>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规格型号</w:t>
            </w:r>
          </w:p>
        </w:tc>
        <w:tc>
          <w:tcPr>
            <w:tcW w:w="718" w:type="dxa"/>
            <w:shd w:val="clear" w:color="auto" w:fill="FFFFFF"/>
            <w:noWrap w:val="0"/>
            <w:vAlign w:val="center"/>
          </w:tcPr>
          <w:p>
            <w:pPr>
              <w:widowControl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单位</w:t>
            </w:r>
          </w:p>
        </w:tc>
        <w:tc>
          <w:tcPr>
            <w:tcW w:w="709" w:type="dxa"/>
            <w:shd w:val="clear" w:color="auto" w:fill="FFFFFF"/>
            <w:noWrap w:val="0"/>
            <w:vAlign w:val="center"/>
          </w:tcPr>
          <w:p>
            <w:pPr>
              <w:widowControl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数量</w:t>
            </w:r>
          </w:p>
        </w:tc>
        <w:tc>
          <w:tcPr>
            <w:tcW w:w="1377" w:type="dxa"/>
            <w:gridSpan w:val="2"/>
            <w:shd w:val="clear" w:color="auto" w:fill="FFFFFF"/>
            <w:noWrap w:val="0"/>
            <w:vAlign w:val="center"/>
          </w:tcPr>
          <w:p>
            <w:pPr>
              <w:widowControl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单价＊</w:t>
            </w:r>
          </w:p>
        </w:tc>
        <w:tc>
          <w:tcPr>
            <w:tcW w:w="1268" w:type="dxa"/>
            <w:shd w:val="clear" w:color="auto" w:fill="FFFFFF"/>
            <w:noWrap w:val="0"/>
            <w:vAlign w:val="center"/>
          </w:tcPr>
          <w:p>
            <w:pPr>
              <w:widowControl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总价＊</w:t>
            </w:r>
          </w:p>
        </w:tc>
        <w:tc>
          <w:tcPr>
            <w:tcW w:w="1200" w:type="dxa"/>
            <w:shd w:val="clear" w:color="auto" w:fill="FFFFFF"/>
            <w:noWrap w:val="0"/>
            <w:vAlign w:val="center"/>
          </w:tcPr>
          <w:p>
            <w:pPr>
              <w:widowControl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税率＊</w:t>
            </w:r>
          </w:p>
        </w:tc>
        <w:tc>
          <w:tcPr>
            <w:tcW w:w="4617" w:type="dxa"/>
            <w:gridSpan w:val="2"/>
            <w:shd w:val="clear" w:color="auto" w:fill="FFFFFF"/>
            <w:noWrap w:val="0"/>
            <w:vAlign w:val="center"/>
          </w:tcPr>
          <w:p>
            <w:pPr>
              <w:widowControl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trPr>
        <w:tc>
          <w:tcPr>
            <w:tcW w:w="475" w:type="dxa"/>
            <w:shd w:val="clear" w:color="auto" w:fill="FFFFFF"/>
            <w:noWrap w:val="0"/>
            <w:vAlign w:val="center"/>
          </w:tcPr>
          <w:p>
            <w:pPr>
              <w:widowControl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2115" w:type="dxa"/>
            <w:noWrap w:val="0"/>
            <w:vAlign w:val="center"/>
          </w:tcPr>
          <w:p>
            <w:pPr>
              <w:widowControl w:val="0"/>
              <w:jc w:val="center"/>
              <w:rPr>
                <w:rFonts w:hint="eastAsia" w:ascii="宋体" w:hAnsi="宋体" w:eastAsia="宋体" w:cs="宋体"/>
                <w:b/>
                <w:sz w:val="24"/>
                <w:szCs w:val="24"/>
                <w:lang w:eastAsia="zh-CN"/>
              </w:rPr>
            </w:pPr>
            <w:r>
              <w:rPr>
                <w:rFonts w:hint="eastAsia" w:ascii="宋体" w:hAnsi="宋体" w:eastAsia="宋体" w:cs="宋体"/>
                <w:b/>
                <w:sz w:val="24"/>
                <w:szCs w:val="24"/>
                <w:lang w:val="en-US" w:eastAsia="zh-CN"/>
              </w:rPr>
              <w:t>超薄件穿透测厚仪</w:t>
            </w:r>
          </w:p>
        </w:tc>
        <w:tc>
          <w:tcPr>
            <w:tcW w:w="1478" w:type="dxa"/>
            <w:noWrap w:val="0"/>
            <w:vAlign w:val="center"/>
          </w:tcPr>
          <w:p>
            <w:pPr>
              <w:widowControl w:val="0"/>
              <w:jc w:val="center"/>
              <w:rPr>
                <w:rFonts w:hint="default" w:ascii="宋体" w:hAnsi="宋体" w:eastAsia="宋体" w:cs="宋体"/>
                <w:b/>
                <w:sz w:val="24"/>
                <w:szCs w:val="24"/>
                <w:lang w:val="en-US" w:eastAsia="zh-CN"/>
              </w:rPr>
            </w:pPr>
            <w:r>
              <w:rPr>
                <w:rFonts w:hint="eastAsia" w:ascii="宋体" w:hAnsi="宋体" w:cs="宋体"/>
                <w:b/>
                <w:sz w:val="24"/>
                <w:szCs w:val="24"/>
                <w:lang w:val="en-US" w:eastAsia="zh-CN"/>
              </w:rPr>
              <w:t>UC730</w:t>
            </w:r>
          </w:p>
        </w:tc>
        <w:tc>
          <w:tcPr>
            <w:tcW w:w="718" w:type="dxa"/>
            <w:noWrap w:val="0"/>
            <w:vAlign w:val="center"/>
          </w:tcPr>
          <w:p>
            <w:pPr>
              <w:widowControl w:val="0"/>
              <w:jc w:val="center"/>
              <w:rPr>
                <w:rFonts w:hint="eastAsia" w:ascii="宋体" w:hAnsi="宋体" w:eastAsia="宋体" w:cs="宋体"/>
                <w:b/>
                <w:sz w:val="24"/>
                <w:szCs w:val="24"/>
                <w:lang w:eastAsia="zh-CN"/>
              </w:rPr>
            </w:pPr>
            <w:r>
              <w:rPr>
                <w:rFonts w:hint="eastAsia" w:ascii="宋体" w:hAnsi="宋体" w:cs="宋体"/>
                <w:b/>
                <w:sz w:val="24"/>
                <w:szCs w:val="24"/>
                <w:lang w:eastAsia="zh-CN"/>
              </w:rPr>
              <w:t>台</w:t>
            </w:r>
          </w:p>
        </w:tc>
        <w:tc>
          <w:tcPr>
            <w:tcW w:w="709" w:type="dxa"/>
            <w:noWrap w:val="0"/>
            <w:vAlign w:val="center"/>
          </w:tcPr>
          <w:p>
            <w:pPr>
              <w:widowControl w:val="0"/>
              <w:jc w:val="center"/>
              <w:rPr>
                <w:rFonts w:hint="eastAsia" w:ascii="宋体" w:hAnsi="宋体" w:eastAsia="宋体" w:cs="宋体"/>
                <w:b/>
                <w:sz w:val="24"/>
                <w:szCs w:val="24"/>
                <w:lang w:eastAsia="zh-CN"/>
              </w:rPr>
            </w:pPr>
            <w:r>
              <w:rPr>
                <w:rFonts w:hint="eastAsia" w:ascii="宋体" w:hAnsi="宋体" w:cs="宋体"/>
                <w:b/>
                <w:sz w:val="24"/>
                <w:szCs w:val="24"/>
                <w:lang w:eastAsia="zh-CN"/>
              </w:rPr>
              <w:t>壹</w:t>
            </w:r>
          </w:p>
        </w:tc>
        <w:tc>
          <w:tcPr>
            <w:tcW w:w="1377" w:type="dxa"/>
            <w:gridSpan w:val="2"/>
            <w:noWrap w:val="0"/>
            <w:vAlign w:val="center"/>
          </w:tcPr>
          <w:p>
            <w:pPr>
              <w:widowControl w:val="0"/>
              <w:jc w:val="both"/>
              <w:rPr>
                <w:rFonts w:ascii="宋体" w:hAnsi="宋体" w:eastAsia="宋体" w:cs="宋体"/>
                <w:b/>
                <w:sz w:val="24"/>
                <w:szCs w:val="24"/>
              </w:rPr>
            </w:pPr>
            <w:bookmarkStart w:id="0" w:name="_GoBack"/>
            <w:bookmarkEnd w:id="0"/>
          </w:p>
        </w:tc>
        <w:tc>
          <w:tcPr>
            <w:tcW w:w="1268" w:type="dxa"/>
            <w:noWrap w:val="0"/>
            <w:vAlign w:val="center"/>
          </w:tcPr>
          <w:p>
            <w:pPr>
              <w:widowControl w:val="0"/>
              <w:jc w:val="center"/>
              <w:rPr>
                <w:rFonts w:ascii="宋体" w:hAnsi="宋体" w:eastAsia="宋体" w:cs="宋体"/>
                <w:b/>
                <w:sz w:val="24"/>
                <w:szCs w:val="24"/>
              </w:rPr>
            </w:pPr>
          </w:p>
        </w:tc>
        <w:tc>
          <w:tcPr>
            <w:tcW w:w="1200" w:type="dxa"/>
            <w:noWrap w:val="0"/>
            <w:vAlign w:val="center"/>
          </w:tcPr>
          <w:p>
            <w:pPr>
              <w:widowControl w:val="0"/>
              <w:jc w:val="center"/>
              <w:rPr>
                <w:rFonts w:ascii="宋体" w:hAnsi="宋体" w:eastAsia="宋体" w:cs="宋体"/>
                <w:b/>
                <w:sz w:val="24"/>
                <w:szCs w:val="24"/>
              </w:rPr>
            </w:pPr>
          </w:p>
        </w:tc>
        <w:tc>
          <w:tcPr>
            <w:tcW w:w="4617" w:type="dxa"/>
            <w:gridSpan w:val="2"/>
            <w:noWrap w:val="0"/>
            <w:vAlign w:val="center"/>
          </w:tcPr>
          <w:p>
            <w:pPr>
              <w:widowControl w:val="0"/>
              <w:jc w:val="left"/>
              <w:rPr>
                <w:rFonts w:hint="default" w:ascii="宋体" w:hAnsi="宋体" w:cs="宋体"/>
                <w:b/>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8" w:hRule="atLeast"/>
        </w:trPr>
        <w:tc>
          <w:tcPr>
            <w:tcW w:w="13957" w:type="dxa"/>
            <w:gridSpan w:val="11"/>
            <w:shd w:val="clear" w:color="auto" w:fill="FFFFFF"/>
            <w:noWrap w:val="0"/>
            <w:vAlign w:val="center"/>
          </w:tcPr>
          <w:p>
            <w:pPr>
              <w:spacing w:line="360" w:lineRule="auto"/>
              <w:rPr>
                <w:rFonts w:ascii="仿宋_GB2312" w:hAnsi="仿宋_GB2312" w:eastAsia="仿宋_GB2312" w:cs="仿宋_GB2312"/>
                <w:sz w:val="24"/>
                <w:szCs w:val="24"/>
              </w:rPr>
            </w:pPr>
            <w:r>
              <w:rPr>
                <w:rFonts w:hint="eastAsia" w:ascii="仿宋_GB2312" w:hAnsi="仿宋_GB2312" w:eastAsia="仿宋_GB2312" w:cs="仿宋_GB2312"/>
                <w:sz w:val="24"/>
                <w:szCs w:val="24"/>
              </w:rPr>
              <w:t>说明：1、此报价表中带 ＊ 号为必填项；</w:t>
            </w:r>
          </w:p>
          <w:p>
            <w:pPr>
              <w:spacing w:line="360" w:lineRule="auto"/>
              <w:ind w:firstLine="720" w:firstLineChars="300"/>
              <w:rPr>
                <w:rFonts w:ascii="仿宋_GB2312" w:hAnsi="仿宋_GB2312" w:eastAsia="仿宋_GB2312" w:cs="仿宋_GB2312"/>
                <w:sz w:val="24"/>
                <w:szCs w:val="24"/>
              </w:rPr>
            </w:pPr>
            <w:r>
              <w:rPr>
                <w:rFonts w:hint="eastAsia" w:ascii="仿宋_GB2312" w:hAnsi="仿宋_GB2312" w:eastAsia="仿宋_GB2312" w:cs="仿宋_GB2312"/>
                <w:sz w:val="24"/>
                <w:szCs w:val="24"/>
              </w:rPr>
              <w:t>2、税率栏填写时要具体明确税率且为增值税专</w:t>
            </w:r>
            <w:r>
              <w:rPr>
                <w:rFonts w:hint="eastAsia" w:ascii="仿宋_GB2312" w:hAnsi="仿宋_GB2312" w:eastAsia="仿宋_GB2312" w:cs="仿宋_GB2312"/>
                <w:sz w:val="24"/>
                <w:szCs w:val="24"/>
                <w:lang w:eastAsia="zh-CN"/>
              </w:rPr>
              <w:t>用</w:t>
            </w:r>
            <w:r>
              <w:rPr>
                <w:rFonts w:hint="eastAsia" w:ascii="仿宋_GB2312" w:hAnsi="仿宋_GB2312" w:eastAsia="仿宋_GB2312" w:cs="仿宋_GB2312"/>
                <w:sz w:val="24"/>
                <w:szCs w:val="24"/>
              </w:rPr>
              <w:t>发票；</w:t>
            </w:r>
          </w:p>
          <w:p>
            <w:pPr>
              <w:spacing w:line="360" w:lineRule="auto"/>
              <w:ind w:firstLine="720" w:firstLineChars="300"/>
              <w:rPr>
                <w:rFonts w:ascii="仿宋_GB2312" w:hAnsi="仿宋_GB2312" w:eastAsia="仿宋_GB2312" w:cs="仿宋_GB2312"/>
                <w:sz w:val="24"/>
                <w:szCs w:val="24"/>
              </w:rPr>
            </w:pPr>
            <w:r>
              <w:rPr>
                <w:rFonts w:hint="eastAsia" w:ascii="仿宋_GB2312" w:hAnsi="仿宋_GB2312" w:eastAsia="仿宋_GB2312" w:cs="仿宋_GB2312"/>
                <w:sz w:val="24"/>
                <w:szCs w:val="24"/>
              </w:rPr>
              <w:t>3、报价均为含税（税率必须注明）、含运费；</w:t>
            </w:r>
          </w:p>
          <w:p>
            <w:pPr>
              <w:spacing w:line="360" w:lineRule="auto"/>
              <w:ind w:firstLine="720" w:firstLineChars="300"/>
              <w:rPr>
                <w:rFonts w:ascii="仿宋_GB2312" w:hAnsi="仿宋_GB2312" w:eastAsia="仿宋_GB2312" w:cs="仿宋_GB2312"/>
                <w:sz w:val="24"/>
                <w:szCs w:val="24"/>
              </w:rPr>
            </w:pPr>
            <w:r>
              <w:rPr>
                <w:rFonts w:hint="eastAsia" w:ascii="仿宋_GB2312" w:hAnsi="仿宋_GB2312" w:eastAsia="仿宋_GB2312" w:cs="仿宋_GB2312"/>
                <w:sz w:val="24"/>
                <w:szCs w:val="24"/>
              </w:rPr>
              <w:t>4、如有疑问，请与章浩（18705628595）联系。</w:t>
            </w:r>
          </w:p>
          <w:p>
            <w:pPr>
              <w:widowControl w:val="0"/>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60" w:type="dxa"/>
            <w:gridSpan w:val="6"/>
            <w:vMerge w:val="restart"/>
            <w:shd w:val="clear" w:color="auto" w:fill="FFFFFF"/>
            <w:noWrap w:val="0"/>
            <w:vAlign w:val="center"/>
          </w:tcPr>
          <w:p>
            <w:pPr>
              <w:widowControl w:val="0"/>
              <w:rPr>
                <w:rFonts w:ascii="仿宋_GB2312" w:hAnsi="仿宋_GB2312" w:eastAsia="仿宋_GB2312" w:cs="仿宋_GB2312"/>
                <w:sz w:val="24"/>
                <w:szCs w:val="24"/>
              </w:rPr>
            </w:pPr>
            <w:r>
              <w:rPr>
                <w:rFonts w:hint="eastAsia" w:ascii="仿宋_GB2312" w:hAnsi="仿宋_GB2312" w:eastAsia="仿宋_GB2312" w:cs="仿宋_GB2312"/>
                <w:sz w:val="24"/>
                <w:szCs w:val="24"/>
              </w:rPr>
              <w:t>投标人单位（公章）</w:t>
            </w:r>
          </w:p>
        </w:tc>
        <w:tc>
          <w:tcPr>
            <w:tcW w:w="3825" w:type="dxa"/>
            <w:gridSpan w:val="4"/>
            <w:shd w:val="clear" w:color="auto" w:fill="FFFFFF"/>
            <w:noWrap w:val="0"/>
            <w:vAlign w:val="center"/>
          </w:tcPr>
          <w:p>
            <w:pPr>
              <w:widowControl w:val="0"/>
              <w:rPr>
                <w:rFonts w:ascii="仿宋_GB2312" w:hAnsi="仿宋_GB2312" w:eastAsia="仿宋_GB2312" w:cs="仿宋_GB2312"/>
                <w:sz w:val="24"/>
                <w:szCs w:val="24"/>
              </w:rPr>
            </w:pPr>
            <w:r>
              <w:rPr>
                <w:rFonts w:hint="eastAsia" w:ascii="仿宋_GB2312" w:hAnsi="仿宋_GB2312" w:eastAsia="仿宋_GB2312" w:cs="仿宋_GB2312"/>
                <w:sz w:val="24"/>
                <w:szCs w:val="24"/>
              </w:rPr>
              <w:t>法定代表人或授权代理人</w:t>
            </w:r>
          </w:p>
        </w:tc>
        <w:tc>
          <w:tcPr>
            <w:tcW w:w="3372" w:type="dxa"/>
            <w:shd w:val="clear" w:color="auto" w:fill="FFFFFF"/>
            <w:noWrap w:val="0"/>
            <w:vAlign w:val="center"/>
          </w:tcPr>
          <w:p>
            <w:pPr>
              <w:widowControl w:val="0"/>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60" w:type="dxa"/>
            <w:gridSpan w:val="6"/>
            <w:vMerge w:val="continue"/>
            <w:shd w:val="clear" w:color="auto" w:fill="FFFFFF"/>
            <w:noWrap w:val="0"/>
            <w:vAlign w:val="center"/>
          </w:tcPr>
          <w:p>
            <w:pPr>
              <w:widowControl w:val="0"/>
              <w:rPr>
                <w:rFonts w:ascii="仿宋_GB2312" w:hAnsi="仿宋_GB2312" w:eastAsia="仿宋_GB2312" w:cs="仿宋_GB2312"/>
                <w:sz w:val="24"/>
                <w:szCs w:val="24"/>
              </w:rPr>
            </w:pPr>
          </w:p>
        </w:tc>
        <w:tc>
          <w:tcPr>
            <w:tcW w:w="3825" w:type="dxa"/>
            <w:gridSpan w:val="4"/>
            <w:vMerge w:val="restart"/>
            <w:shd w:val="clear" w:color="auto" w:fill="FFFFFF"/>
            <w:noWrap w:val="0"/>
            <w:vAlign w:val="center"/>
          </w:tcPr>
          <w:p>
            <w:pPr>
              <w:widowControl w:val="0"/>
              <w:rPr>
                <w:rFonts w:ascii="仿宋_GB2312" w:hAnsi="仿宋_GB2312" w:eastAsia="仿宋_GB2312" w:cs="仿宋_GB2312"/>
                <w:sz w:val="24"/>
                <w:szCs w:val="24"/>
              </w:rPr>
            </w:pPr>
            <w:r>
              <w:rPr>
                <w:rFonts w:hint="eastAsia" w:ascii="仿宋_GB2312" w:hAnsi="仿宋_GB2312" w:eastAsia="仿宋_GB2312" w:cs="仿宋_GB2312"/>
                <w:sz w:val="24"/>
                <w:szCs w:val="24"/>
              </w:rPr>
              <w:t>联系方式</w:t>
            </w:r>
          </w:p>
        </w:tc>
        <w:tc>
          <w:tcPr>
            <w:tcW w:w="3372" w:type="dxa"/>
            <w:shd w:val="clear" w:color="auto" w:fill="FFFFFF"/>
            <w:noWrap w:val="0"/>
            <w:vAlign w:val="center"/>
          </w:tcPr>
          <w:p>
            <w:pPr>
              <w:widowControl w:val="0"/>
              <w:rPr>
                <w:rFonts w:ascii="仿宋_GB2312" w:hAnsi="仿宋_GB2312" w:eastAsia="仿宋_GB2312" w:cs="仿宋_GB2312"/>
                <w:sz w:val="24"/>
                <w:szCs w:val="24"/>
              </w:rPr>
            </w:pPr>
            <w:r>
              <w:rPr>
                <w:rFonts w:hint="eastAsia" w:ascii="仿宋_GB2312" w:hAnsi="仿宋_GB2312" w:eastAsia="仿宋_GB2312" w:cs="仿宋_GB2312"/>
                <w:sz w:val="24"/>
                <w:szCs w:val="24"/>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60" w:type="dxa"/>
            <w:gridSpan w:val="6"/>
            <w:vMerge w:val="continue"/>
            <w:shd w:val="clear" w:color="auto" w:fill="FFFFFF"/>
            <w:noWrap w:val="0"/>
            <w:vAlign w:val="center"/>
          </w:tcPr>
          <w:p>
            <w:pPr>
              <w:widowControl w:val="0"/>
              <w:rPr>
                <w:rFonts w:ascii="仿宋_GB2312" w:hAnsi="仿宋_GB2312" w:eastAsia="仿宋_GB2312" w:cs="仿宋_GB2312"/>
                <w:sz w:val="24"/>
                <w:szCs w:val="24"/>
              </w:rPr>
            </w:pPr>
          </w:p>
        </w:tc>
        <w:tc>
          <w:tcPr>
            <w:tcW w:w="3825" w:type="dxa"/>
            <w:gridSpan w:val="4"/>
            <w:vMerge w:val="continue"/>
            <w:shd w:val="clear" w:color="auto" w:fill="FFFFFF"/>
            <w:noWrap w:val="0"/>
            <w:vAlign w:val="center"/>
          </w:tcPr>
          <w:p>
            <w:pPr>
              <w:widowControl w:val="0"/>
              <w:rPr>
                <w:rFonts w:ascii="仿宋_GB2312" w:hAnsi="仿宋_GB2312" w:eastAsia="仿宋_GB2312" w:cs="仿宋_GB2312"/>
                <w:sz w:val="24"/>
                <w:szCs w:val="24"/>
              </w:rPr>
            </w:pPr>
          </w:p>
        </w:tc>
        <w:tc>
          <w:tcPr>
            <w:tcW w:w="3372" w:type="dxa"/>
            <w:shd w:val="clear" w:color="auto" w:fill="FFFFFF"/>
            <w:noWrap w:val="0"/>
            <w:vAlign w:val="center"/>
          </w:tcPr>
          <w:p>
            <w:pPr>
              <w:widowControl w:val="0"/>
              <w:rPr>
                <w:rFonts w:ascii="仿宋_GB2312" w:hAnsi="仿宋_GB2312" w:eastAsia="仿宋_GB2312" w:cs="仿宋_GB2312"/>
                <w:sz w:val="24"/>
                <w:szCs w:val="24"/>
              </w:rPr>
            </w:pPr>
            <w:r>
              <w:rPr>
                <w:rFonts w:hint="eastAsia" w:ascii="仿宋_GB2312" w:hAnsi="仿宋_GB2312" w:eastAsia="仿宋_GB2312" w:cs="仿宋_GB2312"/>
                <w:sz w:val="24"/>
                <w:szCs w:val="24"/>
              </w:rPr>
              <w:t>邮箱：</w:t>
            </w:r>
          </w:p>
        </w:tc>
      </w:tr>
    </w:tbl>
    <w:p>
      <w:pPr>
        <w:spacing w:line="34" w:lineRule="exact"/>
        <w:rPr>
          <w:sz w:val="21"/>
          <w:szCs w:val="21"/>
        </w:rPr>
      </w:pPr>
    </w:p>
    <w:p>
      <w:pPr>
        <w:spacing w:line="600" w:lineRule="exact"/>
        <w:rPr>
          <w:rFonts w:ascii="仿宋" w:hAnsi="仿宋" w:eastAsia="仿宋" w:cs="仿宋_GB2312"/>
          <w:sz w:val="28"/>
          <w:szCs w:val="28"/>
          <w:u w:val="single"/>
        </w:rPr>
      </w:pPr>
    </w:p>
    <w:sectPr>
      <w:pgSz w:w="16838" w:h="11906" w:orient="landscape"/>
      <w:pgMar w:top="1797" w:right="1440" w:bottom="1797" w:left="1440"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pPr>
  </w:p>
  <w:p>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rPr>
        <w:u w:val="single"/>
      </w:rPr>
    </w:pPr>
    <w:r>
      <w:rPr>
        <w:rFonts w:hint="eastAsia"/>
        <w:u w:val="single"/>
      </w:rPr>
      <w:t xml:space="preserve">                                                                 　　　         </w:t>
    </w:r>
    <w:r>
      <w:rPr>
        <w:u w:val="single"/>
      </w:rPr>
      <w:t xml:space="preserve"> </w:t>
    </w:r>
  </w:p>
  <w:p>
    <w:pPr>
      <w:pStyle w:val="30"/>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38B66A3"/>
    <w:multiLevelType w:val="multilevel"/>
    <w:tmpl w:val="438B66A3"/>
    <w:lvl w:ilvl="0" w:tentative="0">
      <w:start w:val="1"/>
      <w:numFmt w:val="decimal"/>
      <w:pStyle w:val="115"/>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doNotExpandShiftReturn/>
    <w:adjustLineHeightInTable/>
    <w:useFELayout/>
    <w:doNotUseIndentAsNumberingTabStop/>
    <w:useAltKinsokuLineBreakRules/>
    <w:compatSetting w:name="compatibilityMode" w:uri="http://schemas.microsoft.com/office/word" w:val="12"/>
  </w:compat>
  <w:rsids>
    <w:rsidRoot w:val="00172A27"/>
    <w:rsid w:val="0000135C"/>
    <w:rsid w:val="00002AE1"/>
    <w:rsid w:val="00004FB7"/>
    <w:rsid w:val="00010EC3"/>
    <w:rsid w:val="000135B4"/>
    <w:rsid w:val="00015D3F"/>
    <w:rsid w:val="00016EEB"/>
    <w:rsid w:val="0001705D"/>
    <w:rsid w:val="00017307"/>
    <w:rsid w:val="00017F6C"/>
    <w:rsid w:val="00020360"/>
    <w:rsid w:val="00020FD6"/>
    <w:rsid w:val="000226DD"/>
    <w:rsid w:val="00024BD0"/>
    <w:rsid w:val="000263E2"/>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126C"/>
    <w:rsid w:val="000732F3"/>
    <w:rsid w:val="000751EA"/>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E53"/>
    <w:rsid w:val="00152324"/>
    <w:rsid w:val="00152955"/>
    <w:rsid w:val="00152A14"/>
    <w:rsid w:val="00152AED"/>
    <w:rsid w:val="001574C3"/>
    <w:rsid w:val="00157CE5"/>
    <w:rsid w:val="00157F80"/>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201B6E"/>
    <w:rsid w:val="0020299E"/>
    <w:rsid w:val="002055AE"/>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9B8"/>
    <w:rsid w:val="002E4018"/>
    <w:rsid w:val="002E7B1C"/>
    <w:rsid w:val="002F5119"/>
    <w:rsid w:val="00300274"/>
    <w:rsid w:val="00300953"/>
    <w:rsid w:val="00305296"/>
    <w:rsid w:val="00314A09"/>
    <w:rsid w:val="00314EF8"/>
    <w:rsid w:val="003158F9"/>
    <w:rsid w:val="00321077"/>
    <w:rsid w:val="00322773"/>
    <w:rsid w:val="003231FA"/>
    <w:rsid w:val="00325519"/>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2C90"/>
    <w:rsid w:val="003651B6"/>
    <w:rsid w:val="00365774"/>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3AFC"/>
    <w:rsid w:val="0045515F"/>
    <w:rsid w:val="00456453"/>
    <w:rsid w:val="004602F1"/>
    <w:rsid w:val="0046071F"/>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0EC"/>
    <w:rsid w:val="004F727F"/>
    <w:rsid w:val="004F7CF3"/>
    <w:rsid w:val="004F7F32"/>
    <w:rsid w:val="00502B1B"/>
    <w:rsid w:val="0050665B"/>
    <w:rsid w:val="005069C8"/>
    <w:rsid w:val="00506DFB"/>
    <w:rsid w:val="00511F65"/>
    <w:rsid w:val="00512121"/>
    <w:rsid w:val="00514127"/>
    <w:rsid w:val="0051430A"/>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2CFA"/>
    <w:rsid w:val="006044A9"/>
    <w:rsid w:val="006047B4"/>
    <w:rsid w:val="00605113"/>
    <w:rsid w:val="006057CE"/>
    <w:rsid w:val="00610614"/>
    <w:rsid w:val="00610B4F"/>
    <w:rsid w:val="00612D05"/>
    <w:rsid w:val="0062241A"/>
    <w:rsid w:val="0062384B"/>
    <w:rsid w:val="006250DB"/>
    <w:rsid w:val="00626D52"/>
    <w:rsid w:val="00637C51"/>
    <w:rsid w:val="00640FC9"/>
    <w:rsid w:val="00643846"/>
    <w:rsid w:val="00644DC7"/>
    <w:rsid w:val="00645152"/>
    <w:rsid w:val="00645273"/>
    <w:rsid w:val="00645294"/>
    <w:rsid w:val="00645B9C"/>
    <w:rsid w:val="00650238"/>
    <w:rsid w:val="00651F99"/>
    <w:rsid w:val="006520B9"/>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4CD0"/>
    <w:rsid w:val="00705ACE"/>
    <w:rsid w:val="00710574"/>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76EA"/>
    <w:rsid w:val="00757E70"/>
    <w:rsid w:val="007603C6"/>
    <w:rsid w:val="00761625"/>
    <w:rsid w:val="00761AE2"/>
    <w:rsid w:val="00765A2C"/>
    <w:rsid w:val="007669FB"/>
    <w:rsid w:val="00770B1C"/>
    <w:rsid w:val="007716BF"/>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528"/>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02A4"/>
    <w:rsid w:val="00B2088B"/>
    <w:rsid w:val="00B21287"/>
    <w:rsid w:val="00B214BC"/>
    <w:rsid w:val="00B250FA"/>
    <w:rsid w:val="00B25DB6"/>
    <w:rsid w:val="00B2645D"/>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BF4BAF"/>
    <w:rsid w:val="00C007BD"/>
    <w:rsid w:val="00C00AC5"/>
    <w:rsid w:val="00C00C7E"/>
    <w:rsid w:val="00C02089"/>
    <w:rsid w:val="00C0383E"/>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39B8"/>
    <w:rsid w:val="00C65013"/>
    <w:rsid w:val="00C6632D"/>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C1DE2"/>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806"/>
    <w:rsid w:val="00DF7862"/>
    <w:rsid w:val="00E005EA"/>
    <w:rsid w:val="00E012B7"/>
    <w:rsid w:val="00E03F69"/>
    <w:rsid w:val="00E04556"/>
    <w:rsid w:val="00E063FD"/>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24C8F"/>
    <w:rsid w:val="00F30D00"/>
    <w:rsid w:val="00F31506"/>
    <w:rsid w:val="00F32081"/>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1AE6"/>
    <w:rsid w:val="00F72011"/>
    <w:rsid w:val="00F72D9F"/>
    <w:rsid w:val="00F7572D"/>
    <w:rsid w:val="00F7695F"/>
    <w:rsid w:val="00F76D51"/>
    <w:rsid w:val="00F80FBC"/>
    <w:rsid w:val="00F83007"/>
    <w:rsid w:val="00F9202D"/>
    <w:rsid w:val="00F949C9"/>
    <w:rsid w:val="00F97F91"/>
    <w:rsid w:val="00FA069B"/>
    <w:rsid w:val="00FA4E37"/>
    <w:rsid w:val="00FA6FF6"/>
    <w:rsid w:val="00FA7BEC"/>
    <w:rsid w:val="00FB0349"/>
    <w:rsid w:val="00FB14C7"/>
    <w:rsid w:val="00FB1F3D"/>
    <w:rsid w:val="00FB361A"/>
    <w:rsid w:val="00FB7B7B"/>
    <w:rsid w:val="00FC0299"/>
    <w:rsid w:val="00FC0A8F"/>
    <w:rsid w:val="00FC2319"/>
    <w:rsid w:val="00FC2EB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074366"/>
    <w:rsid w:val="012779E4"/>
    <w:rsid w:val="01AF2C21"/>
    <w:rsid w:val="048A48C3"/>
    <w:rsid w:val="05BF33B5"/>
    <w:rsid w:val="076152CC"/>
    <w:rsid w:val="07EA20AB"/>
    <w:rsid w:val="0A5C7401"/>
    <w:rsid w:val="0B2B537E"/>
    <w:rsid w:val="0B433A3A"/>
    <w:rsid w:val="0C5B788A"/>
    <w:rsid w:val="0C6241B2"/>
    <w:rsid w:val="0D2B4E23"/>
    <w:rsid w:val="0E876D2F"/>
    <w:rsid w:val="0EC82FD7"/>
    <w:rsid w:val="0EEA79E8"/>
    <w:rsid w:val="0F4F432A"/>
    <w:rsid w:val="0F791AC7"/>
    <w:rsid w:val="0F884C6E"/>
    <w:rsid w:val="10181623"/>
    <w:rsid w:val="10787720"/>
    <w:rsid w:val="10BD1543"/>
    <w:rsid w:val="12A820AD"/>
    <w:rsid w:val="144B0F7F"/>
    <w:rsid w:val="17652D76"/>
    <w:rsid w:val="17D86D23"/>
    <w:rsid w:val="18600EC2"/>
    <w:rsid w:val="18AF15FD"/>
    <w:rsid w:val="1B59783C"/>
    <w:rsid w:val="1BBF797C"/>
    <w:rsid w:val="1DEE2CCA"/>
    <w:rsid w:val="1F4E5E6E"/>
    <w:rsid w:val="1F5D3E3C"/>
    <w:rsid w:val="2037683E"/>
    <w:rsid w:val="21F90650"/>
    <w:rsid w:val="223E7710"/>
    <w:rsid w:val="241E2A12"/>
    <w:rsid w:val="25590EC9"/>
    <w:rsid w:val="26A26CEB"/>
    <w:rsid w:val="27BF0464"/>
    <w:rsid w:val="286F41F9"/>
    <w:rsid w:val="299D4A4C"/>
    <w:rsid w:val="2A1902C2"/>
    <w:rsid w:val="2AB020F1"/>
    <w:rsid w:val="2BE80223"/>
    <w:rsid w:val="2C995D0F"/>
    <w:rsid w:val="2D3E7816"/>
    <w:rsid w:val="302E3043"/>
    <w:rsid w:val="30D974B7"/>
    <w:rsid w:val="333663C1"/>
    <w:rsid w:val="336F7BD6"/>
    <w:rsid w:val="343C1399"/>
    <w:rsid w:val="34634E47"/>
    <w:rsid w:val="346848DB"/>
    <w:rsid w:val="354F3A99"/>
    <w:rsid w:val="357B16F3"/>
    <w:rsid w:val="36050FAB"/>
    <w:rsid w:val="3989643E"/>
    <w:rsid w:val="3A3173ED"/>
    <w:rsid w:val="3B076549"/>
    <w:rsid w:val="3C5B75D3"/>
    <w:rsid w:val="3C7823C8"/>
    <w:rsid w:val="3DBC2399"/>
    <w:rsid w:val="3DCC4487"/>
    <w:rsid w:val="3E474521"/>
    <w:rsid w:val="3EC82979"/>
    <w:rsid w:val="3FFC46FC"/>
    <w:rsid w:val="40E8754A"/>
    <w:rsid w:val="41B46B47"/>
    <w:rsid w:val="424B79E0"/>
    <w:rsid w:val="42F01550"/>
    <w:rsid w:val="434963F7"/>
    <w:rsid w:val="436C0878"/>
    <w:rsid w:val="439F612A"/>
    <w:rsid w:val="441344E9"/>
    <w:rsid w:val="44842956"/>
    <w:rsid w:val="44B922E9"/>
    <w:rsid w:val="45DC2779"/>
    <w:rsid w:val="465E02D2"/>
    <w:rsid w:val="46BC5513"/>
    <w:rsid w:val="499D4ACB"/>
    <w:rsid w:val="4E822997"/>
    <w:rsid w:val="4ED20DFA"/>
    <w:rsid w:val="4F0F5DA2"/>
    <w:rsid w:val="4F397E6D"/>
    <w:rsid w:val="4F54161A"/>
    <w:rsid w:val="504C2BE7"/>
    <w:rsid w:val="51B50E5A"/>
    <w:rsid w:val="554830C1"/>
    <w:rsid w:val="56B4262E"/>
    <w:rsid w:val="576F2EA8"/>
    <w:rsid w:val="5807041D"/>
    <w:rsid w:val="583F79D3"/>
    <w:rsid w:val="58691989"/>
    <w:rsid w:val="58F960F8"/>
    <w:rsid w:val="599F0979"/>
    <w:rsid w:val="5C1E1084"/>
    <w:rsid w:val="5C8970A8"/>
    <w:rsid w:val="5EE01EF7"/>
    <w:rsid w:val="60F035C2"/>
    <w:rsid w:val="63E45615"/>
    <w:rsid w:val="679D3A2B"/>
    <w:rsid w:val="686738F7"/>
    <w:rsid w:val="69AD4D95"/>
    <w:rsid w:val="69B54174"/>
    <w:rsid w:val="6A315ABB"/>
    <w:rsid w:val="6A660AE8"/>
    <w:rsid w:val="6A87598F"/>
    <w:rsid w:val="6D0836FD"/>
    <w:rsid w:val="6DC85CEE"/>
    <w:rsid w:val="703849D5"/>
    <w:rsid w:val="711712EF"/>
    <w:rsid w:val="74B57A97"/>
    <w:rsid w:val="74E33EE7"/>
    <w:rsid w:val="757D3977"/>
    <w:rsid w:val="77C81C4C"/>
    <w:rsid w:val="793439F5"/>
    <w:rsid w:val="796E3D99"/>
    <w:rsid w:val="79ED6ADC"/>
    <w:rsid w:val="7B8D7C88"/>
    <w:rsid w:val="7C252C88"/>
    <w:rsid w:val="7C2856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7"/>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4"/>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99"/>
    <w:qFormat/>
    <w:uiPriority w:val="0"/>
    <w:pPr>
      <w:keepNext/>
      <w:keepLines/>
      <w:spacing w:before="260" w:after="260" w:line="415" w:lineRule="auto"/>
      <w:outlineLvl w:val="2"/>
    </w:pPr>
    <w:rPr>
      <w:b/>
      <w:bCs/>
      <w:sz w:val="32"/>
      <w:szCs w:val="32"/>
    </w:rPr>
  </w:style>
  <w:style w:type="paragraph" w:styleId="5">
    <w:name w:val="heading 4"/>
    <w:basedOn w:val="1"/>
    <w:next w:val="1"/>
    <w:link w:val="61"/>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1"/>
    <w:qFormat/>
    <w:uiPriority w:val="0"/>
    <w:pPr>
      <w:keepNext/>
      <w:keepLines/>
      <w:spacing w:before="280" w:after="290" w:line="372" w:lineRule="auto"/>
      <w:outlineLvl w:val="4"/>
    </w:pPr>
    <w:rPr>
      <w:b/>
      <w:bCs/>
      <w:sz w:val="28"/>
      <w:szCs w:val="28"/>
    </w:rPr>
  </w:style>
  <w:style w:type="paragraph" w:styleId="7">
    <w:name w:val="heading 6"/>
    <w:basedOn w:val="1"/>
    <w:next w:val="1"/>
    <w:link w:val="98"/>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7"/>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8"/>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2"/>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0"/>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5"/>
    <w:qFormat/>
    <w:uiPriority w:val="0"/>
    <w:pPr>
      <w:shd w:val="clear" w:color="auto" w:fill="000080"/>
    </w:pPr>
  </w:style>
  <w:style w:type="paragraph" w:styleId="16">
    <w:name w:val="annotation text"/>
    <w:basedOn w:val="1"/>
    <w:link w:val="70"/>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89"/>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6"/>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79"/>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1"/>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character" w:customStyle="1" w:styleId="55">
    <w:name w:val="textcontents"/>
    <w:qFormat/>
    <w:uiPriority w:val="0"/>
    <w:rPr>
      <w:rFonts w:cs="Times New Roman"/>
    </w:rPr>
  </w:style>
  <w:style w:type="character" w:customStyle="1" w:styleId="56">
    <w:name w:val="批注文字 Char Char"/>
    <w:qFormat/>
    <w:uiPriority w:val="0"/>
    <w:rPr>
      <w:rFonts w:ascii="宋体" w:hAnsi="Times New Roman" w:eastAsia="宋体" w:cs="Times New Roman"/>
      <w:sz w:val="28"/>
      <w:szCs w:val="20"/>
    </w:rPr>
  </w:style>
  <w:style w:type="character" w:customStyle="1" w:styleId="57">
    <w:name w:val="标题 7 Char"/>
    <w:link w:val="8"/>
    <w:qFormat/>
    <w:uiPriority w:val="0"/>
    <w:rPr>
      <w:rFonts w:eastAsia="宋体"/>
      <w:b/>
      <w:bCs/>
      <w:sz w:val="24"/>
      <w:szCs w:val="24"/>
      <w:lang w:val="en-US" w:eastAsia="zh-CN" w:bidi="ar-SA"/>
    </w:rPr>
  </w:style>
  <w:style w:type="character" w:customStyle="1" w:styleId="58">
    <w:name w:val="Char Char"/>
    <w:qFormat/>
    <w:uiPriority w:val="0"/>
    <w:rPr>
      <w:rFonts w:ascii="Arial" w:hAnsi="Arial" w:eastAsia="黑体"/>
      <w:b/>
      <w:bCs/>
      <w:kern w:val="2"/>
      <w:sz w:val="32"/>
      <w:szCs w:val="32"/>
      <w:lang w:val="en-US" w:eastAsia="zh-CN" w:bidi="ar-SA"/>
    </w:rPr>
  </w:style>
  <w:style w:type="character" w:customStyle="1" w:styleId="59">
    <w:name w:val="页脚 Char Char"/>
    <w:qFormat/>
    <w:uiPriority w:val="0"/>
    <w:rPr>
      <w:rFonts w:eastAsia="宋体"/>
      <w:kern w:val="2"/>
      <w:sz w:val="18"/>
      <w:szCs w:val="18"/>
      <w:lang w:val="en-US" w:eastAsia="zh-CN" w:bidi="ar-SA"/>
    </w:rPr>
  </w:style>
  <w:style w:type="character" w:customStyle="1" w:styleId="60">
    <w:name w:val="Char Char19"/>
    <w:qFormat/>
    <w:uiPriority w:val="0"/>
    <w:rPr>
      <w:rFonts w:ascii="黑体" w:hAnsi="宋体" w:eastAsia="黑体"/>
      <w:sz w:val="52"/>
      <w:lang w:val="en-US" w:eastAsia="zh-CN" w:bidi="ar-SA"/>
    </w:rPr>
  </w:style>
  <w:style w:type="character" w:customStyle="1" w:styleId="61">
    <w:name w:val="标题 4 Char1"/>
    <w:link w:val="5"/>
    <w:qFormat/>
    <w:uiPriority w:val="0"/>
    <w:rPr>
      <w:rFonts w:ascii="Arial" w:hAnsi="Arial" w:eastAsia="黑体"/>
      <w:b/>
      <w:bCs/>
      <w:kern w:val="2"/>
      <w:sz w:val="28"/>
      <w:szCs w:val="28"/>
      <w:lang w:val="en-US" w:eastAsia="zh-CN" w:bidi="ar-SA"/>
    </w:rPr>
  </w:style>
  <w:style w:type="character" w:customStyle="1" w:styleId="62">
    <w:name w:val="浅色底纹 - 强调文字颜色 2 Char"/>
    <w:link w:val="63"/>
    <w:qFormat/>
    <w:uiPriority w:val="0"/>
    <w:rPr>
      <w:b/>
      <w:bCs/>
      <w:i/>
      <w:iCs/>
      <w:color w:val="4F81BD"/>
      <w:kern w:val="2"/>
      <w:sz w:val="21"/>
      <w:szCs w:val="22"/>
      <w:lang w:bidi="ar-SA"/>
    </w:rPr>
  </w:style>
  <w:style w:type="paragraph" w:customStyle="1" w:styleId="63">
    <w:name w:val="浅色底纹 - 强调文字颜色 21"/>
    <w:basedOn w:val="1"/>
    <w:next w:val="1"/>
    <w:link w:val="62"/>
    <w:qFormat/>
    <w:uiPriority w:val="0"/>
    <w:pPr>
      <w:pBdr>
        <w:bottom w:val="single" w:color="4F81BD" w:sz="4" w:space="4"/>
      </w:pBdr>
      <w:spacing w:before="200" w:after="280"/>
      <w:ind w:left="936" w:right="936"/>
    </w:pPr>
    <w:rPr>
      <w:b/>
      <w:bCs/>
      <w:i/>
      <w:iCs/>
      <w:color w:val="4F81BD"/>
      <w:szCs w:val="22"/>
    </w:rPr>
  </w:style>
  <w:style w:type="character" w:customStyle="1" w:styleId="64">
    <w:name w:val="标题 2 Char"/>
    <w:link w:val="3"/>
    <w:qFormat/>
    <w:uiPriority w:val="0"/>
    <w:rPr>
      <w:rFonts w:ascii="Arial" w:hAnsi="Arial" w:eastAsia="黑体"/>
      <w:b/>
      <w:bCs/>
      <w:kern w:val="2"/>
      <w:sz w:val="32"/>
      <w:szCs w:val="32"/>
      <w:lang w:val="en-US" w:eastAsia="zh-CN" w:bidi="ar-SA"/>
    </w:rPr>
  </w:style>
  <w:style w:type="character" w:customStyle="1" w:styleId="65">
    <w:name w:val="日期 Char1"/>
    <w:qFormat/>
    <w:uiPriority w:val="0"/>
    <w:rPr>
      <w:kern w:val="2"/>
      <w:sz w:val="21"/>
      <w:szCs w:val="22"/>
    </w:rPr>
  </w:style>
  <w:style w:type="character" w:customStyle="1" w:styleId="66">
    <w:name w:val="彩色网格 - 强调文字颜色 1 Char"/>
    <w:link w:val="67"/>
    <w:qFormat/>
    <w:uiPriority w:val="0"/>
    <w:rPr>
      <w:i/>
      <w:iCs/>
      <w:color w:val="000000"/>
      <w:kern w:val="2"/>
      <w:sz w:val="21"/>
      <w:szCs w:val="22"/>
      <w:lang w:bidi="ar-SA"/>
    </w:rPr>
  </w:style>
  <w:style w:type="paragraph" w:customStyle="1" w:styleId="67">
    <w:name w:val="彩色网格 - 强调文字颜色 11"/>
    <w:basedOn w:val="1"/>
    <w:next w:val="1"/>
    <w:link w:val="66"/>
    <w:qFormat/>
    <w:uiPriority w:val="0"/>
    <w:rPr>
      <w:i/>
      <w:iCs/>
      <w:color w:val="000000"/>
      <w:szCs w:val="22"/>
    </w:rPr>
  </w:style>
  <w:style w:type="character" w:customStyle="1" w:styleId="68">
    <w:name w:val="标题5 Char Char"/>
    <w:link w:val="69"/>
    <w:qFormat/>
    <w:uiPriority w:val="0"/>
    <w:rPr>
      <w:rFonts w:ascii="Arial" w:hAnsi="Arial"/>
      <w:b/>
      <w:bCs/>
      <w:sz w:val="24"/>
      <w:szCs w:val="32"/>
      <w:lang w:bidi="ar-SA"/>
    </w:rPr>
  </w:style>
  <w:style w:type="paragraph" w:customStyle="1" w:styleId="69">
    <w:name w:val="标题5"/>
    <w:basedOn w:val="4"/>
    <w:link w:val="68"/>
    <w:qFormat/>
    <w:uiPriority w:val="0"/>
    <w:pPr>
      <w:spacing w:line="413" w:lineRule="auto"/>
    </w:pPr>
    <w:rPr>
      <w:rFonts w:ascii="Arial" w:hAnsi="Arial"/>
      <w:kern w:val="0"/>
      <w:sz w:val="24"/>
    </w:rPr>
  </w:style>
  <w:style w:type="character" w:customStyle="1" w:styleId="70">
    <w:name w:val="批注文字 Char"/>
    <w:link w:val="16"/>
    <w:qFormat/>
    <w:uiPriority w:val="0"/>
    <w:rPr>
      <w:rFonts w:eastAsia="宋体"/>
      <w:kern w:val="2"/>
      <w:sz w:val="21"/>
      <w:szCs w:val="24"/>
      <w:lang w:val="en-US" w:eastAsia="zh-CN" w:bidi="ar-SA"/>
    </w:rPr>
  </w:style>
  <w:style w:type="character" w:customStyle="1" w:styleId="71">
    <w:name w:val="标题4 Char Char"/>
    <w:link w:val="72"/>
    <w:qFormat/>
    <w:uiPriority w:val="0"/>
    <w:rPr>
      <w:rFonts w:ascii="Arial" w:hAnsi="Arial"/>
      <w:b/>
      <w:bCs/>
      <w:sz w:val="24"/>
      <w:szCs w:val="32"/>
      <w:lang w:bidi="ar-SA"/>
    </w:rPr>
  </w:style>
  <w:style w:type="paragraph" w:customStyle="1" w:styleId="72">
    <w:name w:val="标题4"/>
    <w:basedOn w:val="3"/>
    <w:next w:val="21"/>
    <w:link w:val="71"/>
    <w:qFormat/>
    <w:uiPriority w:val="0"/>
    <w:pPr>
      <w:spacing w:line="413" w:lineRule="auto"/>
    </w:pPr>
    <w:rPr>
      <w:rFonts w:eastAsia="宋体"/>
      <w:kern w:val="0"/>
      <w:sz w:val="24"/>
    </w:rPr>
  </w:style>
  <w:style w:type="character" w:customStyle="1" w:styleId="73">
    <w:name w:val="Para head"/>
    <w:qFormat/>
    <w:uiPriority w:val="0"/>
    <w:rPr>
      <w:rFonts w:ascii="Arial" w:hAnsi="Arial" w:eastAsia="Times New Roman"/>
      <w:sz w:val="20"/>
    </w:rPr>
  </w:style>
  <w:style w:type="character" w:customStyle="1" w:styleId="74">
    <w:name w:val="明显强调1"/>
    <w:qFormat/>
    <w:uiPriority w:val="0"/>
    <w:rPr>
      <w:b/>
      <w:bCs/>
      <w:i/>
      <w:iCs/>
      <w:color w:val="4F81BD"/>
    </w:rPr>
  </w:style>
  <w:style w:type="character" w:customStyle="1" w:styleId="75">
    <w:name w:val="文档结构图 Char"/>
    <w:link w:val="15"/>
    <w:qFormat/>
    <w:uiPriority w:val="0"/>
    <w:rPr>
      <w:rFonts w:eastAsia="宋体"/>
      <w:kern w:val="2"/>
      <w:sz w:val="21"/>
      <w:szCs w:val="24"/>
      <w:lang w:val="en-US" w:eastAsia="zh-CN" w:bidi="ar-SA"/>
    </w:rPr>
  </w:style>
  <w:style w:type="character" w:customStyle="1" w:styleId="76">
    <w:name w:val="Char Char9"/>
    <w:qFormat/>
    <w:uiPriority w:val="0"/>
    <w:rPr>
      <w:kern w:val="2"/>
      <w:sz w:val="21"/>
      <w:szCs w:val="22"/>
    </w:rPr>
  </w:style>
  <w:style w:type="character" w:customStyle="1" w:styleId="77">
    <w:name w:val="标题 1 Char"/>
    <w:link w:val="2"/>
    <w:qFormat/>
    <w:uiPriority w:val="0"/>
    <w:rPr>
      <w:rFonts w:eastAsia="宋体"/>
      <w:b/>
      <w:bCs/>
      <w:kern w:val="44"/>
      <w:sz w:val="44"/>
      <w:szCs w:val="44"/>
      <w:lang w:val="en-US" w:eastAsia="zh-CN" w:bidi="ar-SA"/>
    </w:rPr>
  </w:style>
  <w:style w:type="character" w:customStyle="1" w:styleId="78">
    <w:name w:val="正文文本 Char1"/>
    <w:qFormat/>
    <w:uiPriority w:val="0"/>
    <w:rPr>
      <w:kern w:val="2"/>
      <w:sz w:val="21"/>
      <w:szCs w:val="22"/>
    </w:rPr>
  </w:style>
  <w:style w:type="character" w:customStyle="1" w:styleId="79">
    <w:name w:val="页眉 Char"/>
    <w:link w:val="30"/>
    <w:qFormat/>
    <w:uiPriority w:val="0"/>
    <w:rPr>
      <w:rFonts w:eastAsia="宋体"/>
      <w:kern w:val="2"/>
      <w:sz w:val="18"/>
      <w:szCs w:val="18"/>
      <w:lang w:val="en-US" w:eastAsia="zh-CN" w:bidi="ar-SA"/>
    </w:rPr>
  </w:style>
  <w:style w:type="character" w:customStyle="1" w:styleId="80">
    <w:name w:val="不明显参考1"/>
    <w:qFormat/>
    <w:uiPriority w:val="0"/>
    <w:rPr>
      <w:smallCaps/>
      <w:color w:val="C0504D"/>
      <w:u w:val="single"/>
    </w:rPr>
  </w:style>
  <w:style w:type="character" w:customStyle="1" w:styleId="81">
    <w:name w:val="副标题 Char"/>
    <w:link w:val="33"/>
    <w:qFormat/>
    <w:uiPriority w:val="0"/>
    <w:rPr>
      <w:rFonts w:ascii="Arial" w:hAnsi="Arial" w:eastAsia="黑体"/>
      <w:b/>
      <w:bCs/>
      <w:kern w:val="2"/>
      <w:sz w:val="32"/>
      <w:szCs w:val="32"/>
      <w:lang w:val="en-US" w:eastAsia="zh-CN" w:bidi="ar-SA"/>
    </w:rPr>
  </w:style>
  <w:style w:type="character" w:customStyle="1" w:styleId="82">
    <w:name w:val="批注主题 Char1"/>
    <w:qFormat/>
    <w:uiPriority w:val="0"/>
    <w:rPr>
      <w:b/>
      <w:bCs/>
      <w:kern w:val="2"/>
      <w:sz w:val="21"/>
      <w:szCs w:val="22"/>
    </w:rPr>
  </w:style>
  <w:style w:type="character" w:customStyle="1" w:styleId="83">
    <w:name w:val="Char Char18"/>
    <w:qFormat/>
    <w:uiPriority w:val="0"/>
    <w:rPr>
      <w:b/>
      <w:bCs/>
      <w:kern w:val="44"/>
      <w:sz w:val="44"/>
      <w:szCs w:val="44"/>
    </w:rPr>
  </w:style>
  <w:style w:type="character" w:customStyle="1" w:styleId="84">
    <w:name w:val="批注框文本 Char1"/>
    <w:qFormat/>
    <w:uiPriority w:val="0"/>
    <w:rPr>
      <w:kern w:val="2"/>
      <w:sz w:val="18"/>
      <w:szCs w:val="18"/>
    </w:rPr>
  </w:style>
  <w:style w:type="character" w:customStyle="1" w:styleId="85">
    <w:name w:val="书籍标题1"/>
    <w:qFormat/>
    <w:uiPriority w:val="0"/>
    <w:rPr>
      <w:b/>
      <w:bCs/>
      <w:smallCaps/>
      <w:spacing w:val="5"/>
    </w:rPr>
  </w:style>
  <w:style w:type="character" w:customStyle="1" w:styleId="86">
    <w:name w:val="标题 4 Char"/>
    <w:qFormat/>
    <w:uiPriority w:val="0"/>
    <w:rPr>
      <w:rFonts w:eastAsia="宋体"/>
      <w:sz w:val="21"/>
      <w:lang w:val="en-US" w:eastAsia="zh-CN" w:bidi="ar-SA"/>
    </w:rPr>
  </w:style>
  <w:style w:type="character" w:customStyle="1" w:styleId="87">
    <w:name w:val="文档结构图 Char1"/>
    <w:qFormat/>
    <w:uiPriority w:val="0"/>
    <w:rPr>
      <w:rFonts w:ascii="宋体"/>
      <w:kern w:val="2"/>
      <w:sz w:val="18"/>
      <w:szCs w:val="18"/>
    </w:rPr>
  </w:style>
  <w:style w:type="character" w:customStyle="1" w:styleId="88">
    <w:name w:val="标题 8 Char"/>
    <w:link w:val="9"/>
    <w:qFormat/>
    <w:uiPriority w:val="0"/>
    <w:rPr>
      <w:rFonts w:ascii="Arial" w:hAnsi="Arial" w:eastAsia="黑体"/>
      <w:sz w:val="24"/>
      <w:szCs w:val="24"/>
      <w:lang w:val="en-US" w:eastAsia="zh-CN" w:bidi="ar-SA"/>
    </w:rPr>
  </w:style>
  <w:style w:type="character" w:customStyle="1" w:styleId="89">
    <w:name w:val="正文文本 Char"/>
    <w:link w:val="18"/>
    <w:qFormat/>
    <w:uiPriority w:val="0"/>
    <w:rPr>
      <w:rFonts w:eastAsia="宋体"/>
      <w:kern w:val="2"/>
      <w:sz w:val="21"/>
      <w:szCs w:val="24"/>
      <w:lang w:val="en-US" w:eastAsia="zh-CN" w:bidi="ar-SA"/>
    </w:rPr>
  </w:style>
  <w:style w:type="character" w:customStyle="1" w:styleId="90">
    <w:name w:val="正文缩进 Char"/>
    <w:link w:val="12"/>
    <w:qFormat/>
    <w:uiPriority w:val="0"/>
    <w:rPr>
      <w:rFonts w:eastAsia="宋体"/>
      <w:kern w:val="2"/>
      <w:sz w:val="21"/>
      <w:szCs w:val="24"/>
      <w:lang w:val="en-US" w:eastAsia="zh-CN" w:bidi="ar-SA"/>
    </w:rPr>
  </w:style>
  <w:style w:type="character" w:customStyle="1" w:styleId="91">
    <w:name w:val="标题 5 Char"/>
    <w:link w:val="6"/>
    <w:qFormat/>
    <w:uiPriority w:val="0"/>
    <w:rPr>
      <w:rFonts w:ascii="Calibri" w:hAnsi="Calibri" w:eastAsia="宋体"/>
      <w:b/>
      <w:bCs/>
      <w:kern w:val="2"/>
      <w:sz w:val="28"/>
      <w:szCs w:val="28"/>
      <w:lang w:val="en-US" w:eastAsia="zh-CN" w:bidi="ar-SA"/>
    </w:rPr>
  </w:style>
  <w:style w:type="character" w:customStyle="1" w:styleId="92">
    <w:name w:val="Char Char17"/>
    <w:qFormat/>
    <w:uiPriority w:val="0"/>
    <w:rPr>
      <w:rFonts w:ascii="Cambria" w:hAnsi="Cambria" w:eastAsia="宋体" w:cs="Times New Roman"/>
      <w:b/>
      <w:bCs/>
      <w:kern w:val="2"/>
      <w:sz w:val="32"/>
      <w:szCs w:val="32"/>
    </w:rPr>
  </w:style>
  <w:style w:type="character" w:customStyle="1" w:styleId="93">
    <w:name w:val="页眉 Char Char"/>
    <w:qFormat/>
    <w:uiPriority w:val="0"/>
    <w:rPr>
      <w:rFonts w:eastAsia="宋体"/>
      <w:kern w:val="2"/>
      <w:sz w:val="18"/>
      <w:szCs w:val="18"/>
      <w:lang w:val="en-US" w:eastAsia="zh-CN" w:bidi="ar-SA"/>
    </w:rPr>
  </w:style>
  <w:style w:type="character" w:customStyle="1" w:styleId="94">
    <w:name w:val="明显参考1"/>
    <w:qFormat/>
    <w:uiPriority w:val="0"/>
    <w:rPr>
      <w:b/>
      <w:bCs/>
      <w:smallCaps/>
      <w:color w:val="C0504D"/>
      <w:spacing w:val="5"/>
      <w:u w:val="single"/>
    </w:rPr>
  </w:style>
  <w:style w:type="character" w:customStyle="1" w:styleId="95">
    <w:name w:val="Char Char7"/>
    <w:qFormat/>
    <w:uiPriority w:val="0"/>
    <w:rPr>
      <w:rFonts w:ascii="Arial" w:hAnsi="Arial" w:eastAsia="黑体"/>
      <w:b/>
      <w:bCs/>
      <w:kern w:val="2"/>
      <w:sz w:val="32"/>
      <w:szCs w:val="32"/>
      <w:lang w:val="en-US" w:eastAsia="zh-CN" w:bidi="ar-SA"/>
    </w:rPr>
  </w:style>
  <w:style w:type="character" w:customStyle="1" w:styleId="96">
    <w:name w:val="纯文本 Char"/>
    <w:link w:val="24"/>
    <w:qFormat/>
    <w:uiPriority w:val="0"/>
    <w:rPr>
      <w:rFonts w:ascii="Courier New" w:hAnsi="Courier New" w:eastAsia="宋体"/>
      <w:kern w:val="2"/>
      <w:sz w:val="21"/>
      <w:lang w:val="en-US" w:eastAsia="zh-CN" w:bidi="ar-SA"/>
    </w:rPr>
  </w:style>
  <w:style w:type="character" w:customStyle="1" w:styleId="97">
    <w:name w:val="font11"/>
    <w:qFormat/>
    <w:uiPriority w:val="0"/>
    <w:rPr>
      <w:rFonts w:hint="eastAsia" w:ascii="宋体" w:hAnsi="宋体" w:eastAsia="宋体" w:cs="宋体"/>
      <w:color w:val="000000"/>
      <w:sz w:val="20"/>
      <w:szCs w:val="20"/>
      <w:u w:val="none"/>
    </w:rPr>
  </w:style>
  <w:style w:type="character" w:customStyle="1" w:styleId="98">
    <w:name w:val="标题 6 Char"/>
    <w:link w:val="7"/>
    <w:qFormat/>
    <w:uiPriority w:val="0"/>
    <w:rPr>
      <w:rFonts w:ascii="Arial" w:hAnsi="Arial" w:eastAsia="黑体"/>
      <w:b/>
      <w:bCs/>
      <w:sz w:val="24"/>
      <w:szCs w:val="24"/>
      <w:lang w:val="en-US" w:eastAsia="zh-CN" w:bidi="ar-SA"/>
    </w:rPr>
  </w:style>
  <w:style w:type="character" w:customStyle="1" w:styleId="99">
    <w:name w:val="标题 3 Char"/>
    <w:link w:val="4"/>
    <w:qFormat/>
    <w:uiPriority w:val="0"/>
    <w:rPr>
      <w:rFonts w:eastAsia="宋体"/>
      <w:b/>
      <w:bCs/>
      <w:kern w:val="2"/>
      <w:sz w:val="32"/>
      <w:szCs w:val="32"/>
      <w:lang w:val="en-US" w:eastAsia="zh-CN" w:bidi="ar-SA"/>
    </w:rPr>
  </w:style>
  <w:style w:type="character" w:customStyle="1" w:styleId="100">
    <w:name w:val="4号宋体左齐行距1.5倍 Char"/>
    <w:qFormat/>
    <w:uiPriority w:val="0"/>
    <w:rPr>
      <w:rFonts w:eastAsia="宋体"/>
      <w:b/>
      <w:sz w:val="32"/>
      <w:lang w:val="en-US" w:eastAsia="zh-CN" w:bidi="ar-SA"/>
    </w:rPr>
  </w:style>
  <w:style w:type="character" w:customStyle="1" w:styleId="101">
    <w:name w:val="不明显强调1"/>
    <w:qFormat/>
    <w:uiPriority w:val="0"/>
    <w:rPr>
      <w:i/>
      <w:iCs/>
      <w:color w:val="808080"/>
    </w:rPr>
  </w:style>
  <w:style w:type="character" w:customStyle="1" w:styleId="102">
    <w:name w:val="标题 9 Char"/>
    <w:link w:val="10"/>
    <w:qFormat/>
    <w:uiPriority w:val="0"/>
    <w:rPr>
      <w:rFonts w:ascii="Arial" w:hAnsi="Arial" w:eastAsia="黑体"/>
      <w:sz w:val="21"/>
      <w:szCs w:val="21"/>
      <w:lang w:val="en-US" w:eastAsia="zh-CN" w:bidi="ar-SA"/>
    </w:rPr>
  </w:style>
  <w:style w:type="character" w:customStyle="1" w:styleId="103">
    <w:name w:val="ask-title"/>
    <w:basedOn w:val="47"/>
    <w:qFormat/>
    <w:uiPriority w:val="0"/>
  </w:style>
  <w:style w:type="character" w:customStyle="1" w:styleId="104">
    <w:name w:val="font161"/>
    <w:qFormat/>
    <w:uiPriority w:val="0"/>
    <w:rPr>
      <w:b/>
      <w:bCs/>
      <w:sz w:val="32"/>
      <w:szCs w:val="32"/>
    </w:rPr>
  </w:style>
  <w:style w:type="character" w:customStyle="1" w:styleId="105">
    <w:name w:val="apple-converted-space"/>
    <w:basedOn w:val="47"/>
    <w:qFormat/>
    <w:uiPriority w:val="0"/>
  </w:style>
  <w:style w:type="character" w:customStyle="1" w:styleId="106">
    <w:name w:val="Char Char2"/>
    <w:qFormat/>
    <w:uiPriority w:val="0"/>
    <w:rPr>
      <w:rFonts w:eastAsia="宋体"/>
      <w:kern w:val="2"/>
      <w:sz w:val="21"/>
      <w:szCs w:val="24"/>
      <w:lang w:val="en-US" w:eastAsia="zh-CN" w:bidi="ar-SA"/>
    </w:rPr>
  </w:style>
  <w:style w:type="paragraph" w:customStyle="1" w:styleId="10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8">
    <w:name w:val="样式1"/>
    <w:basedOn w:val="4"/>
    <w:qFormat/>
    <w:uiPriority w:val="0"/>
    <w:rPr>
      <w:rFonts w:eastAsia="Arial"/>
    </w:rPr>
  </w:style>
  <w:style w:type="paragraph" w:customStyle="1" w:styleId="109">
    <w:name w:val="样式4"/>
    <w:basedOn w:val="4"/>
    <w:qFormat/>
    <w:uiPriority w:val="0"/>
    <w:rPr>
      <w:rFonts w:eastAsia="Arial"/>
    </w:rPr>
  </w:style>
  <w:style w:type="paragraph" w:customStyle="1" w:styleId="110">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1">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2">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3">
    <w:name w:val="默认段落字体 Para Char Char Char Char"/>
    <w:basedOn w:val="1"/>
    <w:qFormat/>
    <w:uiPriority w:val="0"/>
  </w:style>
  <w:style w:type="paragraph" w:customStyle="1" w:styleId="114">
    <w:name w:val="样式2"/>
    <w:basedOn w:val="4"/>
    <w:qFormat/>
    <w:uiPriority w:val="0"/>
  </w:style>
  <w:style w:type="paragraph" w:customStyle="1" w:styleId="115">
    <w:name w:val="XW编号正文"/>
    <w:basedOn w:val="116"/>
    <w:qFormat/>
    <w:uiPriority w:val="0"/>
    <w:pPr>
      <w:numPr>
        <w:ilvl w:val="0"/>
        <w:numId w:val="1"/>
      </w:numPr>
      <w:tabs>
        <w:tab w:val="left" w:pos="1035"/>
        <w:tab w:val="left" w:pos="1134"/>
      </w:tabs>
      <w:ind w:left="1035" w:hanging="720"/>
      <w:jc w:val="left"/>
    </w:pPr>
  </w:style>
  <w:style w:type="paragraph" w:customStyle="1" w:styleId="116">
    <w:name w:val="XW正文"/>
    <w:basedOn w:val="19"/>
    <w:qFormat/>
    <w:uiPriority w:val="0"/>
    <w:pPr>
      <w:adjustRightInd w:val="0"/>
      <w:spacing w:after="0" w:line="300" w:lineRule="auto"/>
      <w:ind w:left="0" w:leftChars="0" w:firstLine="454"/>
      <w:textAlignment w:val="baseline"/>
    </w:pPr>
    <w:rPr>
      <w:szCs w:val="20"/>
    </w:rPr>
  </w:style>
  <w:style w:type="paragraph" w:customStyle="1" w:styleId="117">
    <w:name w:val="Char Char Char Char Char"/>
    <w:basedOn w:val="1"/>
    <w:qFormat/>
    <w:uiPriority w:val="0"/>
    <w:pPr>
      <w:tabs>
        <w:tab w:val="left" w:pos="1360"/>
      </w:tabs>
      <w:ind w:left="1360" w:hanging="720"/>
    </w:pPr>
    <w:rPr>
      <w:szCs w:val="20"/>
    </w:rPr>
  </w:style>
  <w:style w:type="paragraph" w:customStyle="1" w:styleId="118">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19">
    <w:name w:val="目录标题"/>
    <w:basedOn w:val="2"/>
    <w:next w:val="1"/>
    <w:qFormat/>
    <w:uiPriority w:val="0"/>
    <w:pPr>
      <w:outlineLvl w:val="9"/>
    </w:pPr>
  </w:style>
  <w:style w:type="paragraph" w:customStyle="1" w:styleId="120">
    <w:name w:val="A2"/>
    <w:basedOn w:val="24"/>
    <w:qFormat/>
    <w:uiPriority w:val="0"/>
    <w:pPr>
      <w:spacing w:line="300" w:lineRule="auto"/>
      <w:jc w:val="left"/>
    </w:pPr>
    <w:rPr>
      <w:rFonts w:ascii="黑体" w:eastAsia="黑体"/>
      <w:szCs w:val="21"/>
    </w:rPr>
  </w:style>
  <w:style w:type="paragraph" w:customStyle="1" w:styleId="121">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2">
    <w:name w:val="A3"/>
    <w:basedOn w:val="123"/>
    <w:qFormat/>
    <w:uiPriority w:val="0"/>
    <w:rPr>
      <w:sz w:val="21"/>
    </w:rPr>
  </w:style>
  <w:style w:type="paragraph" w:customStyle="1" w:styleId="123">
    <w:name w:val="A1"/>
    <w:basedOn w:val="24"/>
    <w:qFormat/>
    <w:uiPriority w:val="0"/>
    <w:pPr>
      <w:spacing w:line="300" w:lineRule="auto"/>
      <w:jc w:val="center"/>
    </w:pPr>
    <w:rPr>
      <w:rFonts w:ascii="黑体" w:eastAsia="黑体"/>
      <w:sz w:val="52"/>
      <w:szCs w:val="21"/>
    </w:rPr>
  </w:style>
  <w:style w:type="paragraph" w:customStyle="1" w:styleId="124">
    <w:name w:val="p0"/>
    <w:basedOn w:val="1"/>
    <w:qFormat/>
    <w:uiPriority w:val="0"/>
    <w:pPr>
      <w:widowControl/>
    </w:pPr>
    <w:rPr>
      <w:kern w:val="0"/>
      <w:szCs w:val="21"/>
    </w:rPr>
  </w:style>
  <w:style w:type="paragraph" w:customStyle="1" w:styleId="125">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6">
    <w:name w:val="表格文字"/>
    <w:basedOn w:val="1"/>
    <w:qFormat/>
    <w:uiPriority w:val="0"/>
    <w:pPr>
      <w:adjustRightInd w:val="0"/>
      <w:spacing w:line="420" w:lineRule="atLeast"/>
      <w:jc w:val="left"/>
      <w:textAlignment w:val="baseline"/>
    </w:pPr>
    <w:rPr>
      <w:kern w:val="0"/>
      <w:szCs w:val="20"/>
    </w:rPr>
  </w:style>
  <w:style w:type="paragraph" w:customStyle="1" w:styleId="127">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8">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29">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0">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1">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2">
    <w:name w:val="样式3"/>
    <w:basedOn w:val="4"/>
    <w:qFormat/>
    <w:uiPriority w:val="0"/>
    <w:rPr>
      <w:rFonts w:eastAsia="Arial"/>
    </w:rPr>
  </w:style>
  <w:style w:type="paragraph" w:customStyle="1" w:styleId="133">
    <w:name w:val="目录"/>
    <w:basedOn w:val="1"/>
    <w:qFormat/>
    <w:uiPriority w:val="0"/>
    <w:pPr>
      <w:widowControl/>
      <w:jc w:val="center"/>
    </w:pPr>
    <w:rPr>
      <w:rFonts w:hint="eastAsia" w:ascii="宋体"/>
      <w:b/>
      <w:kern w:val="0"/>
      <w:sz w:val="36"/>
      <w:szCs w:val="20"/>
    </w:rPr>
  </w:style>
  <w:style w:type="paragraph" w:customStyle="1" w:styleId="134">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5">
    <w:name w:val="Char4"/>
    <w:basedOn w:val="1"/>
    <w:qFormat/>
    <w:uiPriority w:val="0"/>
    <w:pPr>
      <w:spacing w:line="360" w:lineRule="auto"/>
      <w:ind w:firstLine="200" w:firstLineChars="200"/>
    </w:pPr>
    <w:rPr>
      <w:rFonts w:ascii="Arial" w:hAnsi="Arial" w:cs="Arial"/>
      <w:sz w:val="24"/>
    </w:rPr>
  </w:style>
  <w:style w:type="paragraph" w:customStyle="1" w:styleId="136">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7">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8">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39">
    <w:name w:val="Char"/>
    <w:basedOn w:val="1"/>
    <w:qFormat/>
    <w:uiPriority w:val="0"/>
  </w:style>
  <w:style w:type="paragraph" w:customStyle="1" w:styleId="140">
    <w:name w:val="Char1"/>
    <w:basedOn w:val="1"/>
    <w:qFormat/>
    <w:uiPriority w:val="0"/>
    <w:pPr>
      <w:tabs>
        <w:tab w:val="left" w:pos="360"/>
      </w:tabs>
    </w:pPr>
    <w:rPr>
      <w:sz w:val="24"/>
    </w:rPr>
  </w:style>
  <w:style w:type="paragraph" w:customStyle="1" w:styleId="141">
    <w:name w:val="表格"/>
    <w:basedOn w:val="1"/>
    <w:qFormat/>
    <w:uiPriority w:val="0"/>
    <w:pPr>
      <w:jc w:val="center"/>
      <w:textAlignment w:val="center"/>
    </w:pPr>
    <w:rPr>
      <w:rFonts w:ascii="华文细黑" w:hAnsi="华文细黑"/>
      <w:kern w:val="0"/>
      <w:szCs w:val="20"/>
    </w:rPr>
  </w:style>
  <w:style w:type="paragraph" w:customStyle="1" w:styleId="142">
    <w:name w:val="菲页(卷)"/>
    <w:basedOn w:val="2"/>
    <w:next w:val="121"/>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3">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4">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5">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6">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7">
    <w:name w:val="表头"/>
    <w:basedOn w:val="1"/>
    <w:qFormat/>
    <w:uiPriority w:val="0"/>
    <w:pPr>
      <w:snapToGrid w:val="0"/>
      <w:spacing w:line="300" w:lineRule="auto"/>
      <w:ind w:right="420"/>
    </w:pPr>
    <w:rPr>
      <w:rFonts w:ascii="仿宋_GB2312"/>
      <w:kern w:val="0"/>
      <w:szCs w:val="21"/>
    </w:rPr>
  </w:style>
  <w:style w:type="paragraph" w:customStyle="1" w:styleId="148">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49">
    <w:name w:val="1"/>
    <w:basedOn w:val="1"/>
    <w:next w:val="1"/>
    <w:qFormat/>
    <w:uiPriority w:val="0"/>
  </w:style>
  <w:style w:type="paragraph" w:customStyle="1" w:styleId="15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1">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2">
    <w:name w:val="彩色列表 - 强调文字颜色 11"/>
    <w:basedOn w:val="1"/>
    <w:qFormat/>
    <w:uiPriority w:val="0"/>
    <w:pPr>
      <w:ind w:firstLine="420" w:firstLineChars="200"/>
    </w:pPr>
    <w:rPr>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Pages>
  <Words>484</Words>
  <Characters>2762</Characters>
  <Lines>23</Lines>
  <Paragraphs>6</Paragraphs>
  <TotalTime>0</TotalTime>
  <ScaleCrop>false</ScaleCrop>
  <LinksUpToDate>false</LinksUpToDate>
  <CharactersWithSpaces>3240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2019-04-17T08:49:00Z</dcterms:created>
  <dc:creator>e510</dc:creator>
  <cp:lastModifiedBy>章浩</cp:lastModifiedBy>
  <cp:lastPrinted>2019-05-06T09:43:00Z</cp:lastPrinted>
  <dcterms:modified xsi:type="dcterms:W3CDTF">2021-03-24T08:07:37Z</dcterms:modified>
  <dc:title>中华人民共和国</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8B705F18C893452C91242DB4CB326A19</vt:lpwstr>
  </property>
</Properties>
</file>