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bookmarkStart w:id="0" w:name="_Toc402166983"/>
      <w:bookmarkEnd w:id="0"/>
      <w:bookmarkStart w:id="1" w:name="_Toc59896576"/>
      <w:bookmarkStart w:id="2" w:name="_Toc59900847"/>
      <w:r>
        <w:rPr>
          <w:rFonts w:hint="eastAsia" w:ascii="宋体" w:hAnsi="宋体" w:eastAsia="宋体" w:cs="宋体"/>
          <w:b w:val="0"/>
          <w:color w:val="auto"/>
          <w:kern w:val="2"/>
          <w:sz w:val="44"/>
          <w:szCs w:val="44"/>
          <w:highlight w:val="none"/>
          <w:lang w:val="en-US" w:eastAsia="zh-CN" w:bidi="ar"/>
        </w:rPr>
        <w:t xml:space="preserve">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r>
        <w:rPr>
          <w:rFonts w:hint="eastAsia" w:ascii="宋体" w:hAnsi="宋体" w:eastAsia="宋体" w:cs="宋体"/>
          <w:b w:val="0"/>
          <w:color w:val="auto"/>
          <w:kern w:val="2"/>
          <w:sz w:val="44"/>
          <w:szCs w:val="44"/>
          <w:highlight w:val="none"/>
          <w:lang w:val="en-US" w:eastAsia="zh-CN" w:bidi="ar"/>
        </w:rPr>
        <w:t>铜陵铜冠建安新型环保建材科技有限公司</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r>
        <w:rPr>
          <w:rFonts w:hint="eastAsia" w:ascii="宋体" w:hAnsi="宋体" w:eastAsia="宋体" w:cs="宋体"/>
          <w:b w:val="0"/>
          <w:color w:val="auto"/>
          <w:kern w:val="2"/>
          <w:sz w:val="44"/>
          <w:szCs w:val="44"/>
          <w:highlight w:val="none"/>
          <w:lang w:val="en-US" w:eastAsia="zh-CN" w:bidi="ar"/>
        </w:rPr>
        <w:t>2021年度原料运输业务</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微软雅黑" w:cs="宋体"/>
          <w:b w:val="0"/>
          <w:bCs/>
          <w:color w:val="000000"/>
          <w:kern w:val="2"/>
          <w:sz w:val="28"/>
          <w:szCs w:val="28"/>
          <w:shd w:val="clear" w:color="auto" w:fill="auto"/>
          <w:lang w:val="en-US" w:eastAsia="zh-CN"/>
        </w:rPr>
      </w:pPr>
      <w:r>
        <w:rPr>
          <w:rFonts w:hint="eastAsia" w:ascii="宋体" w:hAnsi="宋体" w:eastAsia="宋体" w:cs="宋体"/>
          <w:b w:val="0"/>
          <w:bCs/>
          <w:color w:val="000000"/>
          <w:kern w:val="2"/>
          <w:sz w:val="28"/>
          <w:szCs w:val="28"/>
          <w:shd w:val="clear" w:color="auto" w:fill="auto"/>
          <w:lang w:val="en-US" w:eastAsia="zh-CN" w:bidi="ar"/>
        </w:rPr>
        <w:t>招标编号：</w:t>
      </w:r>
      <w:r>
        <w:rPr>
          <w:rFonts w:ascii="微软雅黑" w:hAnsi="微软雅黑" w:eastAsia="微软雅黑" w:cs="微软雅黑"/>
          <w:b w:val="0"/>
          <w:bCs/>
          <w:i w:val="0"/>
          <w:caps w:val="0"/>
          <w:color w:val="000000"/>
          <w:spacing w:val="0"/>
          <w:sz w:val="28"/>
          <w:szCs w:val="28"/>
          <w:shd w:val="clear" w:color="auto" w:fill="auto"/>
        </w:rPr>
        <w:t>TGJA-JXYS-2020-0</w:t>
      </w:r>
      <w:r>
        <w:rPr>
          <w:rFonts w:hint="eastAsia" w:ascii="微软雅黑" w:hAnsi="微软雅黑" w:eastAsia="微软雅黑" w:cs="微软雅黑"/>
          <w:b w:val="0"/>
          <w:bCs/>
          <w:i w:val="0"/>
          <w:caps w:val="0"/>
          <w:color w:val="000000"/>
          <w:spacing w:val="0"/>
          <w:sz w:val="28"/>
          <w:szCs w:val="28"/>
          <w:shd w:val="clear" w:color="auto" w:fill="auto"/>
          <w:lang w:val="en-US" w:eastAsia="zh-CN"/>
        </w:rPr>
        <w:t>4</w:t>
      </w:r>
    </w:p>
    <w:p>
      <w:pPr>
        <w:keepNext w:val="0"/>
        <w:keepLines w:val="0"/>
        <w:widowControl w:val="0"/>
        <w:suppressLineNumbers w:val="0"/>
        <w:spacing w:before="100" w:beforeAutospacing="1" w:after="100" w:afterAutospacing="1" w:line="360" w:lineRule="auto"/>
        <w:ind w:left="0" w:right="0"/>
        <w:jc w:val="left"/>
        <w:rPr>
          <w:rFonts w:hint="default" w:ascii="宋体" w:hAnsi="宋体" w:eastAsia="宋体" w:cs="宋体"/>
          <w:b/>
          <w:color w:val="auto"/>
          <w:kern w:val="2"/>
          <w:sz w:val="44"/>
          <w:szCs w:val="44"/>
          <w:highlight w:val="none"/>
          <w:lang w:val="en-US"/>
        </w:rPr>
      </w:pP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招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标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文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color w:val="auto"/>
          <w:kern w:val="2"/>
          <w:sz w:val="32"/>
          <w:szCs w:val="32"/>
          <w:highlight w:val="none"/>
          <w:lang w:val="en-US" w:eastAsia="zh-CN" w:bidi="ar"/>
        </w:rPr>
      </w:pPr>
      <w:r>
        <w:rPr>
          <w:rFonts w:hint="eastAsia" w:ascii="宋体" w:hAnsi="宋体" w:eastAsia="宋体" w:cs="宋体"/>
          <w:b w:val="0"/>
          <w:color w:val="auto"/>
          <w:kern w:val="2"/>
          <w:sz w:val="84"/>
          <w:szCs w:val="84"/>
          <w:highlight w:val="none"/>
          <w:lang w:val="en-US" w:eastAsia="zh-CN" w:bidi="ar"/>
        </w:rPr>
        <w:t>件</w:t>
      </w:r>
    </w:p>
    <w:p>
      <w:pPr>
        <w:keepNext w:val="0"/>
        <w:keepLines w:val="0"/>
        <w:widowControl w:val="0"/>
        <w:suppressLineNumbers w:val="0"/>
        <w:spacing w:before="100" w:beforeAutospacing="1" w:after="100" w:afterAutospacing="1" w:line="360" w:lineRule="auto"/>
        <w:ind w:left="0" w:right="17"/>
        <w:jc w:val="both"/>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bidi="ar"/>
        </w:rPr>
        <w:t xml:space="preserve"> </w:t>
      </w:r>
    </w:p>
    <w:p>
      <w:pPr>
        <w:keepNext w:val="0"/>
        <w:keepLines w:val="0"/>
        <w:widowControl w:val="0"/>
        <w:suppressLineNumbers w:val="0"/>
        <w:spacing w:before="100" w:beforeAutospacing="1" w:after="100" w:afterAutospacing="1" w:line="360" w:lineRule="auto"/>
        <w:ind w:left="0" w:right="17"/>
        <w:jc w:val="center"/>
        <w:rPr>
          <w:rFonts w:hint="eastAsia" w:ascii="宋体" w:hAnsi="宋体" w:eastAsia="宋体" w:cs="宋体"/>
          <w:color w:val="auto"/>
          <w:spacing w:val="-4"/>
          <w:kern w:val="2"/>
          <w:sz w:val="32"/>
          <w:szCs w:val="32"/>
          <w:highlight w:val="none"/>
        </w:rPr>
      </w:pPr>
      <w:r>
        <w:rPr>
          <w:rFonts w:hint="eastAsia" w:ascii="宋体" w:hAnsi="宋体" w:eastAsia="宋体" w:cs="宋体"/>
          <w:color w:val="auto"/>
          <w:kern w:val="2"/>
          <w:sz w:val="32"/>
          <w:szCs w:val="32"/>
          <w:highlight w:val="none"/>
          <w:lang w:val="en-US" w:eastAsia="zh-CN" w:bidi="ar"/>
        </w:rPr>
        <w:t>招  标  人： 铜陵铜冠建安新型环保建材科技有限公司</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bidi="ar"/>
        </w:rPr>
        <w:t>二〇二〇年十二月</w:t>
      </w:r>
      <w:r>
        <w:rPr>
          <w:rFonts w:hint="eastAsia" w:ascii="宋体" w:hAnsi="宋体" w:cs="宋体"/>
          <w:color w:val="auto"/>
          <w:kern w:val="2"/>
          <w:sz w:val="32"/>
          <w:szCs w:val="32"/>
          <w:highlight w:val="none"/>
          <w:lang w:val="en-US" w:eastAsia="zh-CN" w:bidi="ar"/>
        </w:rPr>
        <w:t>十五</w:t>
      </w:r>
      <w:r>
        <w:rPr>
          <w:rFonts w:hint="eastAsia" w:ascii="宋体" w:hAnsi="宋体" w:eastAsia="宋体" w:cs="宋体"/>
          <w:color w:val="auto"/>
          <w:kern w:val="2"/>
          <w:sz w:val="32"/>
          <w:szCs w:val="32"/>
          <w:highlight w:val="none"/>
          <w:lang w:val="en-US" w:eastAsia="zh-CN" w:bidi="ar"/>
        </w:rPr>
        <w:t>日</w:t>
      </w:r>
    </w:p>
    <w:p>
      <w:pPr>
        <w:keepNext w:val="0"/>
        <w:keepLines w:val="0"/>
        <w:widowControl w:val="0"/>
        <w:suppressLineNumbers w:val="0"/>
        <w:spacing w:before="100" w:beforeAutospacing="1" w:after="100" w:afterAutospacing="1" w:line="360" w:lineRule="auto"/>
        <w:ind w:left="0" w:right="0"/>
        <w:jc w:val="both"/>
        <w:rPr>
          <w:rFonts w:hint="eastAsia" w:ascii="宋体" w:hAnsi="宋体" w:eastAsia="宋体" w:cs="宋体"/>
          <w:b/>
          <w:color w:val="auto"/>
          <w:kern w:val="2"/>
          <w:sz w:val="48"/>
          <w:szCs w:val="48"/>
          <w:highlight w:val="none"/>
        </w:rPr>
      </w:pPr>
      <w:r>
        <w:rPr>
          <w:rFonts w:hint="eastAsia" w:ascii="宋体" w:hAnsi="宋体" w:eastAsia="宋体" w:cs="宋体"/>
          <w:b/>
          <w:color w:val="auto"/>
          <w:kern w:val="2"/>
          <w:sz w:val="48"/>
          <w:szCs w:val="48"/>
          <w:highlight w:val="none"/>
          <w:lang w:val="en-US" w:eastAsia="zh-CN" w:bidi="ar"/>
        </w:rPr>
        <w:t xml:space="preserve"> </w:t>
      </w:r>
    </w:p>
    <w:p>
      <w:pPr>
        <w:pStyle w:val="3"/>
        <w:widowControl/>
        <w:spacing w:before="100" w:beforeAutospacing="0" w:after="240" w:afterAutospacing="0"/>
        <w:jc w:val="center"/>
        <w:rPr>
          <w:rFonts w:hint="eastAsia" w:ascii="宋体" w:hAnsi="宋体" w:eastAsia="宋体" w:cs="宋体"/>
          <w:b/>
          <w:color w:val="auto"/>
          <w:kern w:val="2"/>
          <w:sz w:val="44"/>
          <w:szCs w:val="44"/>
          <w:highlight w:val="none"/>
        </w:rPr>
        <w:sectPr>
          <w:headerReference r:id="rId5" w:type="first"/>
          <w:footerReference r:id="rId6" w:type="first"/>
          <w:headerReference r:id="rId3" w:type="default"/>
          <w:headerReference r:id="rId4" w:type="even"/>
          <w:pgSz w:w="11906" w:h="16838"/>
          <w:pgMar w:top="1417" w:right="1134" w:bottom="1134" w:left="1417" w:header="1134" w:footer="907" w:gutter="0"/>
          <w:pgNumType w:fmt="decimal"/>
          <w:cols w:space="720" w:num="1"/>
          <w:titlePg/>
          <w:rtlGutter w:val="0"/>
          <w:docGrid w:type="lines" w:linePitch="312" w:charSpace="0"/>
        </w:sect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宋体" w:hAnsi="宋体" w:eastAsia="宋体" w:cs="宋体"/>
          <w:b/>
          <w:color w:val="auto"/>
          <w:kern w:val="2"/>
          <w:sz w:val="44"/>
          <w:szCs w:val="44"/>
          <w:highlight w:val="none"/>
        </w:rPr>
      </w:pPr>
      <w:r>
        <w:rPr>
          <w:rFonts w:hint="eastAsia" w:ascii="Arial" w:hAnsi="Arial" w:eastAsia="宋体" w:cs="宋体"/>
          <w:b/>
          <w:color w:val="auto"/>
          <w:kern w:val="2"/>
          <w:sz w:val="44"/>
          <w:szCs w:val="44"/>
          <w:highlight w:val="none"/>
        </w:rPr>
        <w:t xml:space="preserve"> </w:t>
      </w:r>
      <w:r>
        <w:rPr>
          <w:rFonts w:hint="eastAsia" w:ascii="宋体" w:hAnsi="宋体" w:eastAsia="宋体" w:cs="宋体"/>
          <w:b/>
          <w:color w:val="auto"/>
          <w:kern w:val="2"/>
          <w:sz w:val="44"/>
          <w:szCs w:val="44"/>
          <w:highlight w:val="none"/>
        </w:rPr>
        <w:t>投标人须知</w:t>
      </w: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总则</w:t>
      </w:r>
    </w:p>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概述</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（1）招标人：</w:t>
      </w:r>
      <w:r>
        <w:rPr>
          <w:rFonts w:hint="eastAsia" w:ascii="宋体" w:hAnsi="宋体" w:eastAsia="宋体" w:cs="宋体"/>
          <w:color w:val="auto"/>
          <w:kern w:val="2"/>
          <w:sz w:val="28"/>
          <w:szCs w:val="28"/>
          <w:highlight w:val="none"/>
          <w:lang w:val="en-US" w:eastAsia="zh-CN" w:bidi="ar"/>
        </w:rPr>
        <w:t>铜陵铜冠建安新型环保建材科技限公司；</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kern w:val="0"/>
          <w:sz w:val="28"/>
          <w:szCs w:val="28"/>
          <w:highlight w:val="none"/>
          <w:lang w:val="en-US" w:eastAsia="zh-CN" w:bidi="ar"/>
        </w:rPr>
        <w:t>招标方式：公开招标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（3）</w:t>
      </w:r>
      <w:r>
        <w:rPr>
          <w:rFonts w:hint="eastAsia" w:ascii="宋体" w:hAnsi="宋体" w:eastAsia="宋体" w:cs="宋体"/>
          <w:color w:val="auto"/>
          <w:sz w:val="28"/>
          <w:szCs w:val="28"/>
          <w:highlight w:val="none"/>
          <w:lang w:val="en-US" w:eastAsia="zh-CN"/>
        </w:rPr>
        <w:t>招标内容：1</w:t>
      </w:r>
      <w:r>
        <w:rPr>
          <w:rFonts w:hint="eastAsia" w:ascii="宋体" w:hAnsi="宋体" w:cs="宋体"/>
          <w:color w:val="auto"/>
          <w:sz w:val="28"/>
          <w:szCs w:val="28"/>
          <w:highlight w:val="none"/>
          <w:lang w:val="en-US" w:eastAsia="zh-CN"/>
        </w:rPr>
        <w:t>标段</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kern w:val="0"/>
          <w:sz w:val="28"/>
          <w:szCs w:val="28"/>
          <w:highlight w:val="none"/>
          <w:lang w:val="en-US" w:eastAsia="zh-CN" w:bidi="ar"/>
        </w:rPr>
        <w:t>矿粉</w:t>
      </w:r>
      <w:r>
        <w:rPr>
          <w:rFonts w:hint="eastAsia" w:ascii="宋体" w:hAnsi="宋体" w:cs="宋体"/>
          <w:color w:val="auto"/>
          <w:kern w:val="0"/>
          <w:sz w:val="28"/>
          <w:szCs w:val="28"/>
          <w:highlight w:val="none"/>
          <w:lang w:val="en-US" w:eastAsia="zh-CN" w:bidi="ar"/>
        </w:rPr>
        <w:t>、散装水泥</w:t>
      </w:r>
      <w:r>
        <w:rPr>
          <w:rFonts w:hint="eastAsia" w:ascii="宋体" w:hAnsi="宋体" w:eastAsia="宋体" w:cs="宋体"/>
          <w:color w:val="auto"/>
          <w:kern w:val="0"/>
          <w:sz w:val="28"/>
          <w:szCs w:val="28"/>
          <w:highlight w:val="none"/>
          <w:lang w:val="en-US" w:eastAsia="zh-CN" w:bidi="ar"/>
        </w:rPr>
        <w:t>运输（含装车、运输、泵送至指定储仓），运输路线及距离如下：</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4715"/>
        <w:gridCol w:w="2082"/>
        <w:gridCol w:w="1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976"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序号</w:t>
            </w:r>
          </w:p>
        </w:tc>
        <w:tc>
          <w:tcPr>
            <w:tcW w:w="4715"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起点-终点</w:t>
            </w:r>
          </w:p>
        </w:tc>
        <w:tc>
          <w:tcPr>
            <w:tcW w:w="2082"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预计年运输量</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（万吨）</w:t>
            </w:r>
          </w:p>
        </w:tc>
        <w:tc>
          <w:tcPr>
            <w:tcW w:w="151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预计距离（km）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1</w:t>
            </w:r>
          </w:p>
        </w:tc>
        <w:tc>
          <w:tcPr>
            <w:tcW w:w="4715" w:type="dxa"/>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马钢嘉华当涂马嘉分厂-铜冠建材</w:t>
            </w:r>
          </w:p>
        </w:tc>
        <w:tc>
          <w:tcPr>
            <w:tcW w:w="2082" w:type="dxa"/>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8</w:t>
            </w:r>
          </w:p>
        </w:tc>
        <w:tc>
          <w:tcPr>
            <w:tcW w:w="1514" w:type="dxa"/>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2</w:t>
            </w:r>
          </w:p>
        </w:tc>
        <w:tc>
          <w:tcPr>
            <w:tcW w:w="4715" w:type="dxa"/>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both"/>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马钢嘉华宣城南嘉分厂-铜冠建材</w:t>
            </w:r>
          </w:p>
        </w:tc>
        <w:tc>
          <w:tcPr>
            <w:tcW w:w="2082" w:type="dxa"/>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eastAsia" w:ascii="宋体" w:hAnsi="宋体" w:eastAsia="宋体" w:cs="宋体"/>
                <w:color w:val="auto"/>
                <w:kern w:val="0"/>
                <w:sz w:val="28"/>
                <w:szCs w:val="28"/>
                <w:highlight w:val="none"/>
                <w:vertAlign w:val="baseline"/>
                <w:lang w:val="en-US" w:eastAsia="zh-CN" w:bidi="ar"/>
              </w:rPr>
            </w:pPr>
          </w:p>
        </w:tc>
        <w:tc>
          <w:tcPr>
            <w:tcW w:w="1514" w:type="dxa"/>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3</w:t>
            </w:r>
          </w:p>
        </w:tc>
        <w:tc>
          <w:tcPr>
            <w:tcW w:w="4715" w:type="dxa"/>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both"/>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马钢嘉华本部-铜冠建材</w:t>
            </w:r>
          </w:p>
        </w:tc>
        <w:tc>
          <w:tcPr>
            <w:tcW w:w="2082" w:type="dxa"/>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2</w:t>
            </w:r>
          </w:p>
        </w:tc>
        <w:tc>
          <w:tcPr>
            <w:tcW w:w="1514" w:type="dxa"/>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4</w:t>
            </w:r>
          </w:p>
        </w:tc>
        <w:tc>
          <w:tcPr>
            <w:tcW w:w="4715" w:type="dxa"/>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both"/>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马钢嘉华利民星火分厂-铜冠建材</w:t>
            </w:r>
          </w:p>
        </w:tc>
        <w:tc>
          <w:tcPr>
            <w:tcW w:w="2082" w:type="dxa"/>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p>
        </w:tc>
        <w:tc>
          <w:tcPr>
            <w:tcW w:w="1514" w:type="dxa"/>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5</w:t>
            </w:r>
          </w:p>
        </w:tc>
        <w:tc>
          <w:tcPr>
            <w:tcW w:w="4715" w:type="dxa"/>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both"/>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芜湖三山区新兴铸管-铜冠建材</w:t>
            </w:r>
          </w:p>
        </w:tc>
        <w:tc>
          <w:tcPr>
            <w:tcW w:w="208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10</w:t>
            </w:r>
          </w:p>
        </w:tc>
        <w:tc>
          <w:tcPr>
            <w:tcW w:w="151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6</w:t>
            </w:r>
          </w:p>
        </w:tc>
        <w:tc>
          <w:tcPr>
            <w:tcW w:w="4715" w:type="dxa"/>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both"/>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铜陵上峰-</w:t>
            </w:r>
            <w:r>
              <w:rPr>
                <w:rFonts w:hint="eastAsia" w:ascii="宋体" w:hAnsi="宋体" w:eastAsia="宋体" w:cs="宋体"/>
                <w:color w:val="auto"/>
                <w:kern w:val="0"/>
                <w:sz w:val="28"/>
                <w:szCs w:val="28"/>
                <w:highlight w:val="none"/>
                <w:vertAlign w:val="baseline"/>
                <w:lang w:val="en-US" w:eastAsia="zh-CN" w:bidi="ar"/>
              </w:rPr>
              <w:t>铜冠建材</w:t>
            </w:r>
          </w:p>
        </w:tc>
        <w:tc>
          <w:tcPr>
            <w:tcW w:w="208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2</w:t>
            </w:r>
          </w:p>
        </w:tc>
        <w:tc>
          <w:tcPr>
            <w:tcW w:w="151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18</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sz w:val="28"/>
          <w:szCs w:val="28"/>
          <w:highlight w:val="none"/>
          <w:lang w:val="en-US" w:eastAsia="zh-CN"/>
        </w:rPr>
        <w:t>2</w:t>
      </w:r>
      <w:r>
        <w:rPr>
          <w:rFonts w:hint="eastAsia" w:ascii="宋体" w:hAnsi="宋体" w:cs="宋体"/>
          <w:color w:val="auto"/>
          <w:sz w:val="28"/>
          <w:szCs w:val="28"/>
          <w:highlight w:val="none"/>
          <w:lang w:val="en-US" w:eastAsia="zh-CN"/>
        </w:rPr>
        <w:t>标段</w:t>
      </w:r>
      <w:r>
        <w:rPr>
          <w:rFonts w:hint="eastAsia" w:ascii="宋体" w:hAnsi="宋体" w:eastAsia="宋体" w:cs="宋体"/>
          <w:color w:val="auto"/>
          <w:sz w:val="28"/>
          <w:szCs w:val="28"/>
          <w:highlight w:val="none"/>
          <w:lang w:val="en-US" w:eastAsia="zh-CN"/>
        </w:rPr>
        <w:t>：有色热电厂粉煤灰</w:t>
      </w:r>
      <w:r>
        <w:rPr>
          <w:rFonts w:hint="eastAsia" w:ascii="宋体" w:hAnsi="宋体" w:eastAsia="宋体" w:cs="宋体"/>
          <w:color w:val="auto"/>
          <w:kern w:val="0"/>
          <w:sz w:val="28"/>
          <w:szCs w:val="28"/>
          <w:highlight w:val="none"/>
          <w:lang w:val="en-US" w:eastAsia="zh-CN" w:bidi="ar"/>
        </w:rPr>
        <w:t>运输（含装车、运输、泵送至指定储仓），运输路线及距离如下：</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4715"/>
        <w:gridCol w:w="2082"/>
        <w:gridCol w:w="1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976"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序号</w:t>
            </w:r>
          </w:p>
        </w:tc>
        <w:tc>
          <w:tcPr>
            <w:tcW w:w="4715"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起点-终点</w:t>
            </w:r>
          </w:p>
        </w:tc>
        <w:tc>
          <w:tcPr>
            <w:tcW w:w="2082"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预计年运输量</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（万吨）</w:t>
            </w:r>
          </w:p>
        </w:tc>
        <w:tc>
          <w:tcPr>
            <w:tcW w:w="151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预计距离（km）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1</w:t>
            </w:r>
          </w:p>
        </w:tc>
        <w:tc>
          <w:tcPr>
            <w:tcW w:w="4715" w:type="dxa"/>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有色热电厂粉煤灰库-铜冠建材</w:t>
            </w:r>
          </w:p>
        </w:tc>
        <w:tc>
          <w:tcPr>
            <w:tcW w:w="208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4</w:t>
            </w:r>
          </w:p>
        </w:tc>
        <w:tc>
          <w:tcPr>
            <w:tcW w:w="151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2</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sz w:val="28"/>
          <w:szCs w:val="28"/>
          <w:highlight w:val="none"/>
          <w:lang w:val="en-US" w:eastAsia="zh-CN"/>
        </w:rPr>
        <w:t>3</w:t>
      </w:r>
      <w:r>
        <w:rPr>
          <w:rFonts w:hint="eastAsia" w:ascii="宋体" w:hAnsi="宋体" w:cs="宋体"/>
          <w:color w:val="auto"/>
          <w:sz w:val="28"/>
          <w:szCs w:val="28"/>
          <w:highlight w:val="none"/>
          <w:lang w:val="en-US" w:eastAsia="zh-CN"/>
        </w:rPr>
        <w:t>标段</w:t>
      </w:r>
      <w:r>
        <w:rPr>
          <w:rFonts w:hint="eastAsia" w:ascii="宋体" w:hAnsi="宋体" w:eastAsia="宋体" w:cs="宋体"/>
          <w:color w:val="auto"/>
          <w:sz w:val="28"/>
          <w:szCs w:val="28"/>
          <w:highlight w:val="none"/>
          <w:lang w:val="en-US" w:eastAsia="zh-CN"/>
        </w:rPr>
        <w:t>：有色热电厂炉渣、石膏</w:t>
      </w:r>
      <w:r>
        <w:rPr>
          <w:rFonts w:hint="eastAsia" w:ascii="宋体" w:hAnsi="宋体" w:eastAsia="宋体" w:cs="宋体"/>
          <w:color w:val="auto"/>
          <w:kern w:val="0"/>
          <w:sz w:val="28"/>
          <w:szCs w:val="28"/>
          <w:highlight w:val="none"/>
          <w:lang w:val="en-US" w:eastAsia="zh-CN" w:bidi="ar"/>
        </w:rPr>
        <w:t>运输（含装车、运输、送至指定仓库），运输路线及距离如下：</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4715"/>
        <w:gridCol w:w="2082"/>
        <w:gridCol w:w="1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976"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序号</w:t>
            </w:r>
          </w:p>
        </w:tc>
        <w:tc>
          <w:tcPr>
            <w:tcW w:w="4715"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起点-终点</w:t>
            </w:r>
          </w:p>
        </w:tc>
        <w:tc>
          <w:tcPr>
            <w:tcW w:w="2082"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预计年运输量</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（万吨）</w:t>
            </w:r>
          </w:p>
        </w:tc>
        <w:tc>
          <w:tcPr>
            <w:tcW w:w="151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预计距离（km）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1</w:t>
            </w:r>
          </w:p>
        </w:tc>
        <w:tc>
          <w:tcPr>
            <w:tcW w:w="4715" w:type="dxa"/>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有色热电厂炉渣石膏库-铜冠建材</w:t>
            </w:r>
          </w:p>
        </w:tc>
        <w:tc>
          <w:tcPr>
            <w:tcW w:w="208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2</w:t>
            </w:r>
          </w:p>
        </w:tc>
        <w:tc>
          <w:tcPr>
            <w:tcW w:w="151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2</w:t>
            </w:r>
          </w:p>
        </w:tc>
      </w:tr>
    </w:tbl>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运输车辆要求：</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A:1包车辆要求</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车辆型号：罐式粉状物料运输车（或环保自卸车），额定载重量不低于30吨；</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车辆需具备自行泵送物料（自卸）的功能；</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车辆需配备GPS定位设备，可实时监控位置；</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车辆必须具备道路运输资格，保险手续齐全；</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驾驶员必须持证上岗，无重大运输违法记录。</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cs="宋体"/>
          <w:color w:val="auto"/>
          <w:kern w:val="0"/>
          <w:sz w:val="28"/>
          <w:szCs w:val="28"/>
          <w:highlight w:val="none"/>
          <w:lang w:val="en-US" w:eastAsia="zh-CN" w:bidi="ar"/>
        </w:rPr>
      </w:pPr>
      <w:r>
        <w:rPr>
          <w:rFonts w:hint="eastAsia" w:ascii="宋体" w:hAnsi="宋体" w:cs="宋体"/>
          <w:color w:val="auto"/>
          <w:kern w:val="0"/>
          <w:sz w:val="28"/>
          <w:szCs w:val="28"/>
          <w:highlight w:val="none"/>
          <w:lang w:val="en-US" w:eastAsia="zh-CN" w:bidi="ar"/>
        </w:rPr>
        <w:t>B:2、3包运输车辆要求</w:t>
      </w:r>
    </w:p>
    <w:p>
      <w:pPr>
        <w:keepNext w:val="0"/>
        <w:keepLines w:val="0"/>
        <w:pageBreakBefore w:val="0"/>
        <w:widowControl w:val="0"/>
        <w:numPr>
          <w:ilvl w:val="0"/>
          <w:numId w:val="5"/>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cs="宋体"/>
          <w:color w:val="auto"/>
          <w:kern w:val="0"/>
          <w:sz w:val="28"/>
          <w:szCs w:val="28"/>
          <w:highlight w:val="none"/>
          <w:lang w:val="en-US" w:eastAsia="zh-CN" w:bidi="ar"/>
        </w:rPr>
      </w:pPr>
      <w:r>
        <w:rPr>
          <w:rFonts w:hint="eastAsia" w:ascii="宋体" w:hAnsi="宋体" w:cs="宋体"/>
          <w:color w:val="auto"/>
          <w:kern w:val="0"/>
          <w:sz w:val="28"/>
          <w:szCs w:val="28"/>
          <w:highlight w:val="none"/>
          <w:lang w:val="en-US" w:eastAsia="zh-CN" w:bidi="ar"/>
        </w:rPr>
        <w:t>证照齐全的环保运输车；</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cs="宋体"/>
          <w:color w:val="auto"/>
          <w:kern w:val="0"/>
          <w:sz w:val="28"/>
          <w:szCs w:val="28"/>
          <w:highlight w:val="none"/>
          <w:lang w:val="en-US" w:eastAsia="zh-CN" w:bidi="ar"/>
        </w:rPr>
        <w:t>（2）</w:t>
      </w:r>
      <w:r>
        <w:rPr>
          <w:rFonts w:hint="eastAsia" w:ascii="宋体" w:hAnsi="宋体" w:eastAsia="宋体" w:cs="宋体"/>
          <w:color w:val="auto"/>
          <w:kern w:val="0"/>
          <w:sz w:val="28"/>
          <w:szCs w:val="28"/>
          <w:highlight w:val="none"/>
          <w:lang w:val="en-US" w:eastAsia="zh-CN" w:bidi="ar"/>
        </w:rPr>
        <w:t>车辆必须具备道路运输资格，保险手续齐全；</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cs="宋体"/>
          <w:color w:val="auto"/>
          <w:kern w:val="0"/>
          <w:sz w:val="28"/>
          <w:szCs w:val="28"/>
          <w:highlight w:val="none"/>
          <w:lang w:val="en-US" w:eastAsia="zh-CN" w:bidi="ar"/>
        </w:rPr>
        <w:t>（3）</w:t>
      </w:r>
      <w:r>
        <w:rPr>
          <w:rFonts w:hint="eastAsia" w:ascii="宋体" w:hAnsi="宋体" w:eastAsia="宋体" w:cs="宋体"/>
          <w:color w:val="auto"/>
          <w:kern w:val="0"/>
          <w:sz w:val="28"/>
          <w:szCs w:val="28"/>
          <w:highlight w:val="none"/>
          <w:lang w:val="en-US" w:eastAsia="zh-CN" w:bidi="ar"/>
        </w:rPr>
        <w:t>驾驶员必须持证上岗，无重大运输违法记录。</w:t>
      </w:r>
    </w:p>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招标项目执行期限：</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原则自2021年1月1日至2021年12月31日，具体以招标方实际销售情况定。</w:t>
      </w: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资质要求</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投标单位应为从事道路运输业务的一般纳税人，提供有效期内的营业执照；</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投标单位应提供有效期内的道路运输经营许可证；</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投标单位应具有较强的资金保障能力；</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自有可投入到本招标业务的运输车辆不少于2辆，以提供的机动车登记证书为准。</w:t>
      </w: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招标程序及日程安排</w:t>
      </w:r>
    </w:p>
    <w:p>
      <w:pPr>
        <w:keepNext w:val="0"/>
        <w:keepLines w:val="0"/>
        <w:pageBreakBefore w:val="0"/>
        <w:widowControl w:val="0"/>
        <w:numPr>
          <w:ilvl w:val="0"/>
          <w:numId w:val="7"/>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招标文件的领取：</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（1）领取时间：</w:t>
      </w:r>
      <w:r>
        <w:rPr>
          <w:rFonts w:hint="eastAsia" w:ascii="宋体" w:hAnsi="宋体" w:eastAsia="宋体" w:cs="宋体"/>
          <w:color w:val="auto"/>
          <w:sz w:val="28"/>
          <w:szCs w:val="28"/>
          <w:highlight w:val="none"/>
          <w:u w:val="single"/>
          <w:lang w:val="en-US" w:eastAsia="zh-CN"/>
        </w:rPr>
        <w:t>2020年12月1</w:t>
      </w:r>
      <w:r>
        <w:rPr>
          <w:rFonts w:hint="eastAsia" w:ascii="宋体" w:hAnsi="宋体" w:cs="宋体"/>
          <w:color w:val="auto"/>
          <w:sz w:val="28"/>
          <w:szCs w:val="28"/>
          <w:highlight w:val="none"/>
          <w:u w:val="single"/>
          <w:lang w:val="en-US" w:eastAsia="zh-CN"/>
        </w:rPr>
        <w:t>8</w:t>
      </w:r>
      <w:r>
        <w:rPr>
          <w:rFonts w:hint="eastAsia" w:ascii="宋体" w:hAnsi="宋体" w:eastAsia="宋体" w:cs="宋体"/>
          <w:color w:val="auto"/>
          <w:sz w:val="28"/>
          <w:szCs w:val="28"/>
          <w:highlight w:val="none"/>
          <w:u w:val="single"/>
          <w:lang w:val="en-US" w:eastAsia="zh-CN"/>
        </w:rPr>
        <w:t>日8:00至2020年12月1</w:t>
      </w:r>
      <w:r>
        <w:rPr>
          <w:rFonts w:hint="eastAsia" w:ascii="宋体" w:hAnsi="宋体" w:cs="宋体"/>
          <w:color w:val="auto"/>
          <w:sz w:val="28"/>
          <w:szCs w:val="28"/>
          <w:highlight w:val="none"/>
          <w:u w:val="single"/>
          <w:lang w:val="en-US" w:eastAsia="zh-CN"/>
        </w:rPr>
        <w:t>9</w:t>
      </w:r>
      <w:r>
        <w:rPr>
          <w:rFonts w:hint="eastAsia" w:ascii="宋体" w:hAnsi="宋体" w:eastAsia="宋体" w:cs="宋体"/>
          <w:color w:val="auto"/>
          <w:sz w:val="28"/>
          <w:szCs w:val="28"/>
          <w:highlight w:val="none"/>
          <w:u w:val="single"/>
          <w:lang w:val="en-US" w:eastAsia="zh-CN"/>
        </w:rPr>
        <w:t>日17:00</w:t>
      </w:r>
      <w:r>
        <w:rPr>
          <w:rFonts w:hint="eastAsia" w:ascii="宋体" w:hAnsi="宋体" w:eastAsia="宋体" w:cs="宋体"/>
          <w:color w:val="auto"/>
          <w:sz w:val="28"/>
          <w:szCs w:val="28"/>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green"/>
          <w:lang w:val="en-US" w:eastAsia="zh-CN"/>
        </w:rPr>
      </w:pPr>
      <w:r>
        <w:rPr>
          <w:rFonts w:hint="eastAsia" w:ascii="宋体" w:hAnsi="宋体" w:eastAsia="宋体" w:cs="宋体"/>
          <w:color w:val="auto"/>
          <w:sz w:val="28"/>
          <w:szCs w:val="28"/>
          <w:highlight w:val="none"/>
          <w:lang w:val="en-US" w:eastAsia="zh-CN"/>
        </w:rPr>
        <w:t>（2）领取地点：</w:t>
      </w:r>
      <w:r>
        <w:rPr>
          <w:rFonts w:hint="eastAsia" w:ascii="宋体" w:hAnsi="宋体" w:eastAsia="宋体" w:cs="宋体"/>
          <w:color w:val="auto"/>
          <w:sz w:val="28"/>
          <w:szCs w:val="28"/>
          <w:highlight w:val="green"/>
          <w:u w:val="single"/>
          <w:lang w:val="en-US" w:eastAsia="zh-CN"/>
        </w:rPr>
        <w:t xml:space="preserve">铜陵铜冠建安新型环保建材科技有限公司，任凡 </w:t>
      </w:r>
      <w:r>
        <w:rPr>
          <w:rFonts w:hint="eastAsia" w:ascii="宋体" w:hAnsi="宋体" w:eastAsia="宋体" w:cs="宋体"/>
          <w:color w:val="auto"/>
          <w:kern w:val="2"/>
          <w:sz w:val="28"/>
          <w:szCs w:val="28"/>
          <w:highlight w:val="green"/>
          <w:u w:val="single"/>
          <w:lang w:val="en-US" w:eastAsia="zh-CN" w:bidi="ar"/>
        </w:rPr>
        <w:t>15656263008</w:t>
      </w:r>
      <w:r>
        <w:rPr>
          <w:rFonts w:hint="eastAsia" w:ascii="宋体" w:hAnsi="宋体" w:eastAsia="宋体" w:cs="宋体"/>
          <w:color w:val="auto"/>
          <w:kern w:val="2"/>
          <w:sz w:val="28"/>
          <w:szCs w:val="28"/>
          <w:highlight w:val="green"/>
          <w:u w:val="none"/>
          <w:lang w:val="en-US" w:eastAsia="zh-CN" w:bidi="ar"/>
        </w:rPr>
        <w:t>；</w:t>
      </w:r>
    </w:p>
    <w:p>
      <w:pPr>
        <w:keepNext w:val="0"/>
        <w:keepLines w:val="0"/>
        <w:pageBreakBefore w:val="0"/>
        <w:widowControl w:val="0"/>
        <w:numPr>
          <w:ilvl w:val="0"/>
          <w:numId w:val="7"/>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投标答疑：</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潜在投标人有须澄清事宜，应于</w:t>
      </w:r>
      <w:r>
        <w:rPr>
          <w:rFonts w:hint="eastAsia" w:ascii="宋体" w:hAnsi="宋体" w:eastAsia="宋体" w:cs="宋体"/>
          <w:color w:val="auto"/>
          <w:sz w:val="28"/>
          <w:szCs w:val="28"/>
          <w:highlight w:val="none"/>
          <w:u w:val="single"/>
          <w:lang w:val="en-US" w:eastAsia="zh-CN"/>
        </w:rPr>
        <w:t>2020年12月</w:t>
      </w:r>
      <w:r>
        <w:rPr>
          <w:rFonts w:hint="eastAsia" w:ascii="宋体" w:hAnsi="宋体" w:cs="宋体"/>
          <w:color w:val="auto"/>
          <w:sz w:val="28"/>
          <w:szCs w:val="28"/>
          <w:highlight w:val="none"/>
          <w:u w:val="single"/>
          <w:lang w:val="en-US" w:eastAsia="zh-CN"/>
        </w:rPr>
        <w:t>23</w:t>
      </w:r>
      <w:r>
        <w:rPr>
          <w:rFonts w:hint="eastAsia" w:ascii="宋体" w:hAnsi="宋体" w:eastAsia="宋体" w:cs="宋体"/>
          <w:color w:val="auto"/>
          <w:sz w:val="28"/>
          <w:szCs w:val="28"/>
          <w:highlight w:val="none"/>
          <w:u w:val="single"/>
          <w:lang w:val="en-US" w:eastAsia="zh-CN"/>
        </w:rPr>
        <w:t>日17:00前</w:t>
      </w:r>
      <w:r>
        <w:rPr>
          <w:rFonts w:hint="eastAsia" w:ascii="宋体" w:hAnsi="宋体" w:eastAsia="宋体" w:cs="宋体"/>
          <w:color w:val="auto"/>
          <w:sz w:val="28"/>
          <w:szCs w:val="28"/>
          <w:highlight w:val="none"/>
          <w:lang w:val="en-US" w:eastAsia="zh-CN"/>
        </w:rPr>
        <w:t>向招标人提交书面材料，招标人于</w:t>
      </w:r>
      <w:r>
        <w:rPr>
          <w:rFonts w:hint="eastAsia" w:ascii="宋体" w:hAnsi="宋体" w:eastAsia="宋体" w:cs="宋体"/>
          <w:color w:val="auto"/>
          <w:sz w:val="28"/>
          <w:szCs w:val="28"/>
          <w:highlight w:val="none"/>
          <w:u w:val="single"/>
          <w:lang w:val="en-US" w:eastAsia="zh-CN"/>
        </w:rPr>
        <w:t>2020年12月</w:t>
      </w:r>
      <w:r>
        <w:rPr>
          <w:rFonts w:hint="eastAsia" w:ascii="宋体" w:hAnsi="宋体" w:cs="宋体"/>
          <w:color w:val="auto"/>
          <w:sz w:val="28"/>
          <w:szCs w:val="28"/>
          <w:highlight w:val="none"/>
          <w:u w:val="single"/>
          <w:lang w:val="en-US" w:eastAsia="zh-CN"/>
        </w:rPr>
        <w:t>24</w:t>
      </w:r>
      <w:r>
        <w:rPr>
          <w:rFonts w:hint="eastAsia" w:ascii="宋体" w:hAnsi="宋体" w:eastAsia="宋体" w:cs="宋体"/>
          <w:color w:val="auto"/>
          <w:sz w:val="28"/>
          <w:szCs w:val="28"/>
          <w:highlight w:val="none"/>
          <w:u w:val="single"/>
          <w:lang w:val="en-US" w:eastAsia="zh-CN"/>
        </w:rPr>
        <w:t>日17:00前</w:t>
      </w:r>
      <w:r>
        <w:rPr>
          <w:rFonts w:hint="eastAsia" w:ascii="宋体" w:hAnsi="宋体" w:eastAsia="宋体" w:cs="宋体"/>
          <w:color w:val="auto"/>
          <w:sz w:val="28"/>
          <w:szCs w:val="28"/>
          <w:highlight w:val="none"/>
          <w:lang w:val="en-US" w:eastAsia="zh-CN"/>
        </w:rPr>
        <w:t>向所有潜在投标人统一回复；</w:t>
      </w:r>
    </w:p>
    <w:p>
      <w:pPr>
        <w:keepNext w:val="0"/>
        <w:keepLines w:val="0"/>
        <w:pageBreakBefore w:val="0"/>
        <w:widowControl w:val="0"/>
        <w:numPr>
          <w:ilvl w:val="0"/>
          <w:numId w:val="7"/>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投标截止与开标：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（1）开标时间：</w:t>
      </w:r>
      <w:r>
        <w:rPr>
          <w:rFonts w:hint="eastAsia" w:ascii="宋体" w:hAnsi="宋体" w:eastAsia="宋体" w:cs="宋体"/>
          <w:color w:val="auto"/>
          <w:sz w:val="28"/>
          <w:szCs w:val="28"/>
          <w:highlight w:val="none"/>
          <w:u w:val="single"/>
          <w:lang w:val="en-US" w:eastAsia="zh-CN"/>
        </w:rPr>
        <w:t xml:space="preserve">2020年12月 </w:t>
      </w:r>
      <w:r>
        <w:rPr>
          <w:rFonts w:hint="eastAsia" w:ascii="宋体" w:hAnsi="宋体" w:cs="宋体"/>
          <w:color w:val="auto"/>
          <w:sz w:val="28"/>
          <w:szCs w:val="28"/>
          <w:highlight w:val="none"/>
          <w:u w:val="single"/>
          <w:lang w:val="en-US" w:eastAsia="zh-CN"/>
        </w:rPr>
        <w:t>30</w:t>
      </w:r>
      <w:r>
        <w:rPr>
          <w:rFonts w:hint="eastAsia" w:ascii="宋体" w:hAnsi="宋体" w:eastAsia="宋体" w:cs="宋体"/>
          <w:color w:val="auto"/>
          <w:sz w:val="28"/>
          <w:szCs w:val="28"/>
          <w:highlight w:val="none"/>
          <w:u w:val="single"/>
          <w:lang w:val="en-US" w:eastAsia="zh-CN"/>
        </w:rPr>
        <w:t xml:space="preserve">日上午9：00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（2）开标地点：</w:t>
      </w:r>
      <w:r>
        <w:rPr>
          <w:rFonts w:hint="eastAsia" w:ascii="宋体" w:hAnsi="宋体" w:eastAsia="宋体" w:cs="宋体"/>
          <w:color w:val="auto"/>
          <w:sz w:val="28"/>
          <w:szCs w:val="28"/>
          <w:highlight w:val="none"/>
          <w:u w:val="single"/>
          <w:lang w:val="en-US" w:eastAsia="zh-CN"/>
        </w:rPr>
        <w:t>铜冠建筑安装股份有限公司办公楼三楼会议室</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210" w:hanging="280" w:hangingChars="1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（3）投标人应在开标时间之前递交投标文件至</w:t>
      </w:r>
      <w:r>
        <w:rPr>
          <w:rFonts w:hint="eastAsia" w:ascii="宋体" w:hAnsi="宋体" w:eastAsia="宋体" w:cs="宋体"/>
          <w:color w:val="auto"/>
          <w:sz w:val="28"/>
          <w:szCs w:val="28"/>
          <w:highlight w:val="green"/>
          <w:u w:val="single"/>
          <w:lang w:val="en-US" w:eastAsia="zh-CN"/>
        </w:rPr>
        <w:t>铜冠建筑安装股份有限公司三楼</w:t>
      </w:r>
      <w:r>
        <w:rPr>
          <w:rFonts w:hint="eastAsia" w:ascii="宋体" w:hAnsi="宋体" w:cs="宋体"/>
          <w:color w:val="auto"/>
          <w:sz w:val="28"/>
          <w:szCs w:val="28"/>
          <w:highlight w:val="green"/>
          <w:u w:val="single"/>
          <w:lang w:val="en-US" w:eastAsia="zh-CN"/>
        </w:rPr>
        <w:t>经营部</w:t>
      </w:r>
      <w:r>
        <w:rPr>
          <w:rFonts w:hint="eastAsia" w:ascii="宋体" w:hAnsi="宋体" w:eastAsia="宋体" w:cs="宋体"/>
          <w:color w:val="auto"/>
          <w:sz w:val="28"/>
          <w:szCs w:val="28"/>
          <w:highlight w:val="green"/>
          <w:u w:val="single"/>
          <w:lang w:val="en-US" w:eastAsia="zh-CN"/>
        </w:rPr>
        <w:t>（</w:t>
      </w:r>
      <w:r>
        <w:rPr>
          <w:rFonts w:hint="eastAsia" w:ascii="宋体" w:hAnsi="宋体" w:cs="宋体"/>
          <w:color w:val="auto"/>
          <w:kern w:val="0"/>
          <w:sz w:val="28"/>
          <w:szCs w:val="28"/>
          <w:highlight w:val="green"/>
          <w:u w:val="single"/>
          <w:lang w:val="en-US" w:eastAsia="zh-CN" w:bidi="ar"/>
        </w:rPr>
        <w:t>黄赟</w:t>
      </w:r>
      <w:r>
        <w:rPr>
          <w:rFonts w:hint="eastAsia" w:ascii="宋体" w:hAnsi="宋体" w:eastAsia="宋体" w:cs="宋体"/>
          <w:color w:val="auto"/>
          <w:kern w:val="0"/>
          <w:sz w:val="28"/>
          <w:szCs w:val="28"/>
          <w:highlight w:val="green"/>
          <w:u w:val="single"/>
          <w:lang w:val="en-US" w:eastAsia="zh-CN" w:bidi="ar"/>
        </w:rPr>
        <w:t>1</w:t>
      </w:r>
      <w:r>
        <w:rPr>
          <w:rFonts w:hint="eastAsia" w:ascii="宋体" w:hAnsi="宋体" w:cs="宋体"/>
          <w:color w:val="auto"/>
          <w:kern w:val="0"/>
          <w:sz w:val="28"/>
          <w:szCs w:val="28"/>
          <w:highlight w:val="green"/>
          <w:u w:val="single"/>
          <w:lang w:val="en-US" w:eastAsia="zh-CN" w:bidi="ar"/>
        </w:rPr>
        <w:t>8656211500</w:t>
      </w:r>
      <w:r>
        <w:rPr>
          <w:rFonts w:hint="eastAsia" w:ascii="宋体" w:hAnsi="宋体" w:eastAsia="宋体" w:cs="宋体"/>
          <w:color w:val="auto"/>
          <w:kern w:val="0"/>
          <w:sz w:val="28"/>
          <w:szCs w:val="28"/>
          <w:highlight w:val="green"/>
          <w:u w:val="single"/>
          <w:lang w:val="en-US" w:eastAsia="zh-CN" w:bidi="ar"/>
        </w:rPr>
        <w:t>）</w:t>
      </w:r>
      <w:r>
        <w:rPr>
          <w:rFonts w:hint="eastAsia" w:ascii="宋体" w:hAnsi="宋体" w:eastAsia="宋体" w:cs="宋体"/>
          <w:color w:val="auto"/>
          <w:sz w:val="28"/>
          <w:szCs w:val="28"/>
          <w:highlight w:val="green"/>
          <w:lang w:val="en-US" w:eastAsia="zh-CN"/>
        </w:rPr>
        <w:t>，</w:t>
      </w:r>
      <w:r>
        <w:rPr>
          <w:rFonts w:hint="eastAsia" w:ascii="宋体" w:hAnsi="宋体" w:eastAsia="宋体" w:cs="宋体"/>
          <w:color w:val="auto"/>
          <w:sz w:val="28"/>
          <w:szCs w:val="28"/>
          <w:highlight w:val="none"/>
          <w:lang w:val="en-US" w:eastAsia="zh-CN"/>
        </w:rPr>
        <w:t>逾期视为投标文件无效；</w:t>
      </w:r>
    </w:p>
    <w:p>
      <w:pPr>
        <w:keepNext w:val="0"/>
        <w:keepLines w:val="0"/>
        <w:pageBreakBefore w:val="0"/>
        <w:widowControl w:val="0"/>
        <w:numPr>
          <w:ilvl w:val="0"/>
          <w:numId w:val="7"/>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定标：</w:t>
      </w:r>
      <w:r>
        <w:rPr>
          <w:rFonts w:hint="eastAsia" w:ascii="宋体" w:hAnsi="宋体" w:eastAsia="宋体" w:cs="宋体"/>
          <w:color w:val="auto"/>
          <w:sz w:val="28"/>
          <w:szCs w:val="28"/>
          <w:highlight w:val="none"/>
          <w:u w:val="single"/>
          <w:lang w:val="en-US" w:eastAsia="zh-CN"/>
        </w:rPr>
        <w:t>根据开标结果确定；</w:t>
      </w:r>
    </w:p>
    <w:p>
      <w:pPr>
        <w:keepNext w:val="0"/>
        <w:keepLines w:val="0"/>
        <w:pageBreakBefore w:val="0"/>
        <w:widowControl w:val="0"/>
        <w:numPr>
          <w:ilvl w:val="0"/>
          <w:numId w:val="7"/>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u w:val="single"/>
          <w:lang w:val="en-US" w:eastAsia="zh-CN"/>
        </w:rPr>
      </w:pPr>
      <w:r>
        <w:rPr>
          <w:rFonts w:hint="eastAsia" w:ascii="宋体" w:hAnsi="宋体" w:eastAsia="宋体" w:cs="宋体"/>
          <w:color w:val="auto"/>
          <w:sz w:val="28"/>
          <w:szCs w:val="28"/>
          <w:highlight w:val="none"/>
          <w:lang w:val="en-US" w:eastAsia="zh-CN"/>
        </w:rPr>
        <w:t>发中标通知书：</w:t>
      </w:r>
      <w:r>
        <w:rPr>
          <w:rFonts w:hint="eastAsia" w:ascii="宋体" w:hAnsi="宋体" w:eastAsia="宋体" w:cs="宋体"/>
          <w:color w:val="auto"/>
          <w:sz w:val="28"/>
          <w:szCs w:val="28"/>
          <w:highlight w:val="none"/>
          <w:u w:val="single"/>
          <w:lang w:val="en-US" w:eastAsia="zh-CN"/>
        </w:rPr>
        <w:t>定标后 3 天内；</w:t>
      </w:r>
    </w:p>
    <w:p>
      <w:pPr>
        <w:keepNext w:val="0"/>
        <w:keepLines w:val="0"/>
        <w:pageBreakBefore w:val="0"/>
        <w:widowControl w:val="0"/>
        <w:numPr>
          <w:ilvl w:val="0"/>
          <w:numId w:val="7"/>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合同签订：</w:t>
      </w:r>
      <w:r>
        <w:rPr>
          <w:rFonts w:hint="eastAsia" w:ascii="宋体" w:hAnsi="宋体" w:eastAsia="宋体" w:cs="宋体"/>
          <w:color w:val="auto"/>
          <w:sz w:val="28"/>
          <w:szCs w:val="28"/>
          <w:highlight w:val="none"/>
          <w:u w:val="single"/>
          <w:lang w:val="en-US" w:eastAsia="zh-CN"/>
        </w:rPr>
        <w:t>中标单位接中标通知后 7天内；</w:t>
      </w:r>
    </w:p>
    <w:p>
      <w:pPr>
        <w:keepNext w:val="0"/>
        <w:keepLines w:val="0"/>
        <w:pageBreakBefore w:val="0"/>
        <w:widowControl w:val="0"/>
        <w:numPr>
          <w:ilvl w:val="0"/>
          <w:numId w:val="7"/>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lang w:val="en-US" w:eastAsia="zh-CN"/>
        </w:rPr>
        <w:t>投标有效期：</w:t>
      </w:r>
      <w:r>
        <w:rPr>
          <w:rFonts w:hint="eastAsia" w:ascii="宋体" w:hAnsi="宋体" w:eastAsia="宋体" w:cs="宋体"/>
          <w:color w:val="auto"/>
          <w:sz w:val="28"/>
          <w:szCs w:val="28"/>
          <w:highlight w:val="none"/>
          <w:u w:val="single"/>
          <w:lang w:val="en-US" w:eastAsia="zh-CN"/>
        </w:rPr>
        <w:t>开标之日起 30 天；</w:t>
      </w:r>
    </w:p>
    <w:p>
      <w:pPr>
        <w:keepNext w:val="0"/>
        <w:keepLines w:val="0"/>
        <w:pageBreakBefore w:val="0"/>
        <w:widowControl w:val="0"/>
        <w:numPr>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u w:val="single"/>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u w:val="single"/>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u w:val="single"/>
          <w:lang w:val="en-US" w:eastAsia="zh-CN"/>
        </w:rPr>
      </w:pPr>
    </w:p>
    <w:p>
      <w:pPr>
        <w:keepNext w:val="0"/>
        <w:keepLines w:val="0"/>
        <w:pageBreakBefore w:val="0"/>
        <w:widowControl w:val="0"/>
        <w:numPr>
          <w:ilvl w:val="0"/>
          <w:numId w:val="7"/>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green"/>
          <w:u w:val="none"/>
          <w:lang w:val="en-US" w:eastAsia="zh-CN"/>
        </w:rPr>
      </w:pPr>
      <w:r>
        <w:rPr>
          <w:rFonts w:hint="eastAsia" w:ascii="宋体" w:hAnsi="宋体" w:eastAsia="宋体" w:cs="宋体"/>
          <w:color w:val="auto"/>
          <w:sz w:val="28"/>
          <w:szCs w:val="28"/>
          <w:highlight w:val="none"/>
          <w:lang w:val="en-US" w:eastAsia="zh-CN"/>
        </w:rPr>
        <w:t>投标保证金：</w:t>
      </w:r>
      <w:r>
        <w:rPr>
          <w:rFonts w:hint="eastAsia" w:ascii="宋体" w:hAnsi="宋体" w:eastAsia="宋体" w:cs="宋体"/>
          <w:color w:val="auto"/>
          <w:sz w:val="28"/>
          <w:szCs w:val="28"/>
          <w:highlight w:val="green"/>
          <w:lang w:val="en-US" w:eastAsia="zh-CN"/>
        </w:rPr>
        <w:t>本次招标设投标保证金</w:t>
      </w:r>
      <w:r>
        <w:rPr>
          <w:rFonts w:hint="eastAsia" w:ascii="宋体" w:hAnsi="宋体" w:eastAsia="宋体" w:cs="宋体"/>
          <w:color w:val="auto"/>
          <w:sz w:val="28"/>
          <w:szCs w:val="28"/>
          <w:highlight w:val="green"/>
          <w:u w:val="single"/>
          <w:lang w:val="en-US" w:eastAsia="zh-CN"/>
        </w:rPr>
        <w:t>人民币贰万元（¥：20000.00），</w:t>
      </w:r>
      <w:r>
        <w:rPr>
          <w:rFonts w:hint="eastAsia" w:ascii="宋体" w:hAnsi="宋体" w:eastAsia="宋体" w:cs="宋体"/>
          <w:color w:val="auto"/>
          <w:sz w:val="28"/>
          <w:szCs w:val="28"/>
          <w:highlight w:val="green"/>
          <w:u w:val="none"/>
          <w:lang w:val="en-US" w:eastAsia="zh-CN"/>
        </w:rPr>
        <w:t>投标人应于开标之日前将投标保证金汇至招标人账户：</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highlight w:val="green"/>
          <w:lang w:val="en-US" w:eastAsia="zh-CN"/>
        </w:rPr>
      </w:pPr>
      <w:r>
        <w:rPr>
          <w:rFonts w:hint="eastAsia" w:ascii="宋体" w:hAnsi="宋体" w:eastAsia="宋体" w:cs="宋体"/>
          <w:color w:val="auto"/>
          <w:sz w:val="28"/>
          <w:szCs w:val="28"/>
          <w:highlight w:val="green"/>
          <w:lang w:val="en-US" w:eastAsia="zh-CN"/>
        </w:rPr>
        <w:t>户    名：铜陵铜冠建安新型环保建材科技有限公司</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highlight w:val="green"/>
          <w:lang w:val="en-US" w:eastAsia="zh-CN"/>
        </w:rPr>
      </w:pPr>
      <w:r>
        <w:rPr>
          <w:rFonts w:hint="eastAsia" w:ascii="宋体" w:hAnsi="宋体" w:eastAsia="宋体" w:cs="宋体"/>
          <w:color w:val="auto"/>
          <w:sz w:val="28"/>
          <w:szCs w:val="28"/>
          <w:highlight w:val="green"/>
          <w:lang w:val="en-US" w:eastAsia="zh-CN"/>
        </w:rPr>
        <w:t>开户银行：中国银行铜陵分行义安支行</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highlight w:val="green"/>
          <w:lang w:val="en-US" w:eastAsia="zh-CN"/>
        </w:rPr>
      </w:pPr>
      <w:r>
        <w:rPr>
          <w:rFonts w:hint="eastAsia" w:ascii="宋体" w:hAnsi="宋体" w:eastAsia="宋体" w:cs="宋体"/>
          <w:color w:val="auto"/>
          <w:sz w:val="28"/>
          <w:szCs w:val="28"/>
          <w:highlight w:val="green"/>
          <w:lang w:val="en-US" w:eastAsia="zh-CN"/>
        </w:rPr>
        <w:t>帐    号：179 725 225 176</w:t>
      </w:r>
      <w:r>
        <w:rPr>
          <w:rFonts w:hint="eastAsia" w:ascii="宋体" w:hAnsi="宋体" w:eastAsia="宋体" w:cs="宋体"/>
          <w:color w:val="auto"/>
          <w:sz w:val="28"/>
          <w:szCs w:val="28"/>
          <w:highlight w:val="green"/>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lang w:val="en-US" w:eastAsia="zh-CN"/>
        </w:rPr>
        <w:t>投标人应在在投标文件中提供汇款证明，未按要求递交投标保证金的视为投标无效。投标保证金在合同签订后7天内退还至原账户。投标人在投标有效期内撤回投标的，招标人可以拒绝退还投标保证金。</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highlight w:val="none"/>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highlight w:val="none"/>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highlight w:val="none"/>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highlight w:val="none"/>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highlight w:val="none"/>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highlight w:val="none"/>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highlight w:val="none"/>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highlight w:val="none"/>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highlight w:val="none"/>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highlight w:val="none"/>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highlight w:val="none"/>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highlight w:val="none"/>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highlight w:val="none"/>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highlight w:val="none"/>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highlight w:val="none"/>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highlight w:val="none"/>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highlight w:val="none"/>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highlight w:val="none"/>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highlight w:val="none"/>
          <w:u w:val="none"/>
          <w:lang w:val="en-US" w:eastAsia="zh-CN"/>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highlight w:val="none"/>
        </w:rPr>
      </w:pPr>
      <w:r>
        <w:rPr>
          <w:rFonts w:hint="eastAsia" w:ascii="Arial" w:hAnsi="Arial" w:eastAsia="宋体" w:cs="宋体"/>
          <w:b/>
          <w:bCs/>
          <w:color w:val="auto"/>
          <w:kern w:val="2"/>
          <w:sz w:val="44"/>
          <w:szCs w:val="44"/>
          <w:highlight w:val="none"/>
        </w:rPr>
        <w:t>投标</w:t>
      </w:r>
      <w:r>
        <w:rPr>
          <w:rFonts w:hint="eastAsia" w:ascii="Arial" w:hAnsi="Arial" w:eastAsia="宋体" w:cs="宋体"/>
          <w:b/>
          <w:bCs/>
          <w:color w:val="auto"/>
          <w:kern w:val="2"/>
          <w:sz w:val="44"/>
          <w:szCs w:val="44"/>
          <w:highlight w:val="none"/>
          <w:lang w:val="en-US" w:eastAsia="zh-CN"/>
        </w:rPr>
        <w:t>文件编制要求</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投标文件的语言及度量衡单位</w:t>
      </w:r>
    </w:p>
    <w:p>
      <w:pPr>
        <w:keepNext w:val="0"/>
        <w:keepLines w:val="0"/>
        <w:pageBreakBefore w:val="0"/>
        <w:widowControl w:val="0"/>
        <w:numPr>
          <w:ilvl w:val="0"/>
          <w:numId w:val="9"/>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投标人与招标人之间与投标有关的所有往来通知、函件和投标文件均应用中文。</w:t>
      </w:r>
    </w:p>
    <w:p>
      <w:pPr>
        <w:keepNext w:val="0"/>
        <w:keepLines w:val="0"/>
        <w:pageBreakBefore w:val="0"/>
        <w:widowControl w:val="0"/>
        <w:numPr>
          <w:ilvl w:val="0"/>
          <w:numId w:val="9"/>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除技术规范另有规定外，投标文件使用的度量衡单位，均采用中华人民共和国法定计量单位。</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default"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投标文件组成</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（1）投标函（格式见附件）；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（2）企业法人授权委托书（格式见附件）；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（3）投标保证书（格式见附件）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（4）投标报价表（格式见附件）；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（5）企业证照</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rPr>
        <w:t>资质、业绩等资料；</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highlight w:val="none"/>
          <w:lang w:val="en-US" w:eastAsia="zh-CN"/>
        </w:rPr>
      </w:pP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lang w:val="en-US" w:eastAsia="zh-CN"/>
        </w:rPr>
        <w:t>6</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lang w:val="en-US" w:eastAsia="zh-CN"/>
        </w:rPr>
        <w:t>车辆统计表及机动车登记证书、相关保险证明等。</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投标文件格式</w:t>
      </w:r>
    </w:p>
    <w:p>
      <w:pPr>
        <w:keepNext w:val="0"/>
        <w:keepLines w:val="0"/>
        <w:pageBreakBefore w:val="0"/>
        <w:widowControl w:val="0"/>
        <w:kinsoku/>
        <w:wordWrap/>
        <w:overflowPunct/>
        <w:topLinePunct w:val="0"/>
        <w:autoSpaceDE/>
        <w:autoSpaceDN/>
        <w:bidi w:val="0"/>
        <w:adjustRightInd w:val="0"/>
        <w:snapToGrid w:val="0"/>
        <w:spacing w:line="520" w:lineRule="exact"/>
        <w:ind w:firstLine="478" w:firstLineChars="171"/>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投标文件规定的内容，投标人提交的投标文件如无特殊要求或说明应使用招标文件所提供的规定文件格式（表格允许按同样格式扩展）。</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投标报价</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本次招标的投标报价采用</w:t>
      </w:r>
      <w:r>
        <w:rPr>
          <w:rFonts w:hint="eastAsia" w:ascii="宋体" w:hAnsi="宋体" w:eastAsia="宋体" w:cs="宋体"/>
          <w:b/>
          <w:bCs/>
          <w:color w:val="auto"/>
          <w:sz w:val="28"/>
          <w:szCs w:val="28"/>
          <w:highlight w:val="none"/>
          <w:u w:val="single"/>
          <w:lang w:val="en-US" w:eastAsia="zh-CN"/>
        </w:rPr>
        <w:t>固定单价（含9%增值税）</w:t>
      </w:r>
      <w:r>
        <w:rPr>
          <w:rFonts w:hint="eastAsia" w:ascii="宋体" w:hAnsi="宋体" w:eastAsia="宋体" w:cs="宋体"/>
          <w:color w:val="auto"/>
          <w:sz w:val="28"/>
          <w:szCs w:val="28"/>
          <w:highlight w:val="none"/>
          <w:lang w:val="en-US" w:eastAsia="zh-CN"/>
        </w:rPr>
        <w:t>的方式进行报价，最终结算价按合同签订的固定单价×实际运输量计算。</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投标报价应包括投标人中标后为完成合同约定的全部工作需支付的一切费用和拟获得的利润，包括但不限于用于本项目的人工费、机械费、材料费、以及相关的管理费、规费、利润、税金、风险等费用，并考虑了应承担的政策性调整、市场价格风险、人工单价、机械台班价格浮动等的所有风险。</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人工、材料、设备均由中标人自行提供。</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投标人对运输方案的优化，招标人理解为投标人为完成招标或合同内容所采用的措施项目，不另计算费用。</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价格调整：由于油料、过路过桥费等市场价格变动引起的因素，不予调整合同价。</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投标文件要求</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rPr>
        <w:t>投标文件应按照招标文件要求由投标人的法定代表人或被授权代理人在招标文件指定的位置签字并加盖公章</w:t>
      </w:r>
      <w:r>
        <w:rPr>
          <w:rFonts w:hint="eastAsia" w:ascii="宋体" w:hAnsi="宋体" w:eastAsia="宋体" w:cs="宋体"/>
          <w:color w:val="auto"/>
          <w:kern w:val="0"/>
          <w:sz w:val="28"/>
          <w:szCs w:val="28"/>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highlight w:val="none"/>
          <w:lang w:val="en-US" w:eastAsia="zh-CN"/>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highlight w:val="none"/>
        </w:rPr>
      </w:pPr>
      <w:bookmarkStart w:id="3" w:name="_Toc227583045"/>
      <w:bookmarkStart w:id="4" w:name="_Toc248296423"/>
      <w:r>
        <w:rPr>
          <w:rFonts w:hint="eastAsia" w:ascii="Arial" w:hAnsi="Arial" w:eastAsia="宋体" w:cs="宋体"/>
          <w:b/>
          <w:bCs/>
          <w:color w:val="auto"/>
          <w:kern w:val="2"/>
          <w:sz w:val="44"/>
          <w:szCs w:val="44"/>
          <w:highlight w:val="none"/>
        </w:rPr>
        <w:t xml:space="preserve"> </w:t>
      </w:r>
      <w:r>
        <w:rPr>
          <w:rFonts w:hint="eastAsia" w:ascii="Arial" w:hAnsi="Arial" w:eastAsia="宋体" w:cs="宋体"/>
          <w:b/>
          <w:bCs/>
          <w:color w:val="auto"/>
          <w:kern w:val="2"/>
          <w:sz w:val="44"/>
          <w:szCs w:val="44"/>
          <w:highlight w:val="none"/>
          <w:lang w:val="en-US" w:eastAsia="zh-CN"/>
        </w:rPr>
        <w:t>开、评、定标</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总则</w:t>
      </w:r>
      <w:bookmarkEnd w:id="3"/>
      <w:bookmarkEnd w:id="4"/>
    </w:p>
    <w:p>
      <w:pPr>
        <w:keepNext w:val="0"/>
        <w:keepLines w:val="0"/>
        <w:pageBreakBefore w:val="0"/>
        <w:widowControl w:val="0"/>
        <w:numPr>
          <w:ilvl w:val="0"/>
          <w:numId w:val="12"/>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为保证本次采购招标评标工作顺利进行，依据公平、公正、科学、择优的原则，特制定本评标办法。</w:t>
      </w:r>
    </w:p>
    <w:p>
      <w:pPr>
        <w:keepNext w:val="0"/>
        <w:keepLines w:val="0"/>
        <w:pageBreakBefore w:val="0"/>
        <w:widowControl w:val="0"/>
        <w:numPr>
          <w:ilvl w:val="0"/>
          <w:numId w:val="12"/>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本评标办法依据《中华人民共和国招标投标法》等有关规定并结合本次招标特点制定。</w:t>
      </w:r>
      <w:bookmarkStart w:id="5" w:name="_Toc227583046"/>
      <w:bookmarkStart w:id="6" w:name="_Toc248296424"/>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评标组织机构</w:t>
      </w:r>
      <w:bookmarkEnd w:id="5"/>
      <w:bookmarkEnd w:id="6"/>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招标人组织完成本次招标评标工作。</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评标委员会由招标人按公司及相关法律规定组成。评标委员会负责整个评标工作。</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评标委员会负责评标、推荐中标候选人工作。如果评标委员会成员对审议事项存有不同意见，以评标委员会成员三分之二以上多数的意见为准。如仍然无法达成一致，审议事项应在重新评审后，以评标委员会多数成员的意见为准。</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评审工作组：评标委员会下设商务评审工作组、技术评审工作组，协助评标委员会工作。</w:t>
      </w:r>
      <w:bookmarkStart w:id="7" w:name="_Toc227583047"/>
      <w:bookmarkStart w:id="8" w:name="_Toc248296425"/>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评标工作程序</w:t>
      </w:r>
      <w:bookmarkEnd w:id="7"/>
      <w:bookmarkEnd w:id="8"/>
    </w:p>
    <w:p>
      <w:pPr>
        <w:keepNext w:val="0"/>
        <w:keepLines w:val="0"/>
        <w:pageBreakBefore w:val="0"/>
        <w:widowControl w:val="0"/>
        <w:numPr>
          <w:ilvl w:val="0"/>
          <w:numId w:val="14"/>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本次评标采用经评审的合理低价中标法。</w:t>
      </w:r>
    </w:p>
    <w:p>
      <w:pPr>
        <w:keepNext w:val="0"/>
        <w:keepLines w:val="0"/>
        <w:pageBreakBefore w:val="0"/>
        <w:widowControl w:val="0"/>
        <w:numPr>
          <w:ilvl w:val="0"/>
          <w:numId w:val="14"/>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评标程序：本次评标按商务评审、技术评审、报价评审、推荐中标候选人、完成评标报告程序进行。 </w:t>
      </w:r>
      <w:bookmarkStart w:id="9" w:name="_Toc227583048"/>
      <w:bookmarkStart w:id="10" w:name="_Toc248296426"/>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评审</w:t>
      </w:r>
      <w:bookmarkEnd w:id="9"/>
      <w:bookmarkEnd w:id="10"/>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评标将针对各运输线路</w:t>
      </w:r>
      <w:r>
        <w:rPr>
          <w:rFonts w:hint="eastAsia" w:ascii="宋体" w:hAnsi="宋体" w:cs="宋体"/>
          <w:color w:val="auto"/>
          <w:sz w:val="28"/>
          <w:szCs w:val="28"/>
          <w:highlight w:val="none"/>
          <w:lang w:val="en-US" w:eastAsia="zh-CN"/>
        </w:rPr>
        <w:t>（三个标段）</w:t>
      </w:r>
      <w:r>
        <w:rPr>
          <w:rFonts w:hint="eastAsia" w:ascii="宋体" w:hAnsi="宋体" w:eastAsia="宋体" w:cs="宋体"/>
          <w:color w:val="auto"/>
          <w:sz w:val="28"/>
          <w:szCs w:val="28"/>
          <w:highlight w:val="none"/>
          <w:lang w:val="en-US" w:eastAsia="zh-CN"/>
        </w:rPr>
        <w:t>分别进行评审。</w:t>
      </w:r>
      <w:r>
        <w:rPr>
          <w:rFonts w:hint="eastAsia" w:ascii="宋体" w:hAnsi="宋体" w:eastAsia="宋体" w:cs="宋体"/>
          <w:sz w:val="28"/>
          <w:szCs w:val="28"/>
          <w:lang w:val="en-US" w:eastAsia="zh-CN"/>
        </w:rPr>
        <w:t>评标委员会对满足招标文件实质性要求的投标文件，按照评分标准进行打分，根据总分排名推荐两名中标候选人，进入二轮谈判，招标人根据中标候选人的综合运输实力，</w:t>
      </w:r>
      <w:r>
        <w:rPr>
          <w:rFonts w:hint="eastAsia" w:ascii="宋体" w:hAnsi="宋体" w:eastAsia="宋体" w:cs="宋体"/>
          <w:color w:val="auto"/>
          <w:sz w:val="28"/>
          <w:szCs w:val="28"/>
          <w:highlight w:val="none"/>
          <w:lang w:val="en-US" w:eastAsia="zh-CN"/>
        </w:rPr>
        <w:t>各运输线路</w:t>
      </w:r>
      <w:r>
        <w:rPr>
          <w:rFonts w:hint="eastAsia" w:ascii="宋体" w:hAnsi="宋体" w:cs="宋体"/>
          <w:color w:val="auto"/>
          <w:sz w:val="28"/>
          <w:szCs w:val="28"/>
          <w:highlight w:val="none"/>
          <w:lang w:val="en-US" w:eastAsia="zh-CN"/>
        </w:rPr>
        <w:t>分别</w:t>
      </w:r>
      <w:r>
        <w:rPr>
          <w:rFonts w:hint="eastAsia" w:ascii="宋体" w:hAnsi="宋体" w:eastAsia="宋体" w:cs="宋体"/>
          <w:sz w:val="28"/>
          <w:szCs w:val="28"/>
          <w:lang w:val="en-US" w:eastAsia="zh-CN"/>
        </w:rPr>
        <w:t>确定一名最终中标人，签订合同。</w:t>
      </w:r>
    </w:p>
    <w:p>
      <w:pPr>
        <w:keepNext w:val="0"/>
        <w:keepLines w:val="0"/>
        <w:pageBreakBefore w:val="0"/>
        <w:widowControl w:val="0"/>
        <w:numPr>
          <w:ilvl w:val="0"/>
          <w:numId w:val="1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商务评审</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lang w:val="en-US" w:eastAsia="zh-CN"/>
        </w:rPr>
        <w:t>1</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rPr>
        <w:t xml:space="preserve">审查投标人是否根据招标文件的规定提供了全部要求的文件，审核投标文件是否实质性地符合招标文件的要求，商务审查的主要内容为： </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val="en-US" w:eastAsia="zh-CN"/>
        </w:rPr>
        <w:t xml:space="preserve">① </w:t>
      </w:r>
      <w:r>
        <w:rPr>
          <w:rFonts w:hint="eastAsia" w:ascii="宋体" w:hAnsi="宋体" w:eastAsia="宋体" w:cs="宋体"/>
          <w:color w:val="auto"/>
          <w:kern w:val="0"/>
          <w:sz w:val="28"/>
          <w:szCs w:val="28"/>
          <w:highlight w:val="none"/>
        </w:rPr>
        <w:t>是否按照规定格式提供了投标函；</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val="en-US" w:eastAsia="zh-CN"/>
        </w:rPr>
        <w:t xml:space="preserve">② </w:t>
      </w:r>
      <w:r>
        <w:rPr>
          <w:rFonts w:hint="eastAsia" w:ascii="宋体" w:hAnsi="宋体" w:eastAsia="宋体" w:cs="宋体"/>
          <w:color w:val="auto"/>
          <w:kern w:val="0"/>
          <w:sz w:val="28"/>
          <w:szCs w:val="28"/>
          <w:highlight w:val="none"/>
        </w:rPr>
        <w:t>是否提供了符合招标文件要求的报价清单；</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val="en-US" w:eastAsia="zh-CN"/>
        </w:rPr>
        <w:t xml:space="preserve">③ </w:t>
      </w:r>
      <w:r>
        <w:rPr>
          <w:rFonts w:hint="eastAsia" w:ascii="宋体" w:hAnsi="宋体" w:eastAsia="宋体" w:cs="宋体"/>
          <w:color w:val="auto"/>
          <w:kern w:val="0"/>
          <w:sz w:val="28"/>
          <w:szCs w:val="28"/>
          <w:highlight w:val="none"/>
        </w:rPr>
        <w:t>是否按照规定格式提供了投标人法定代表人授权书；</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val="en-US" w:eastAsia="zh-CN"/>
        </w:rPr>
        <w:t xml:space="preserve">④ </w:t>
      </w:r>
      <w:r>
        <w:rPr>
          <w:rFonts w:hint="eastAsia" w:ascii="宋体" w:hAnsi="宋体" w:eastAsia="宋体" w:cs="宋体"/>
          <w:color w:val="auto"/>
          <w:kern w:val="0"/>
          <w:sz w:val="28"/>
          <w:szCs w:val="28"/>
          <w:highlight w:val="none"/>
        </w:rPr>
        <w:t>是否提供了法人营业执照（复印件）、</w:t>
      </w:r>
      <w:r>
        <w:rPr>
          <w:rFonts w:hint="eastAsia" w:ascii="宋体" w:hAnsi="宋体" w:eastAsia="宋体" w:cs="宋体"/>
          <w:color w:val="auto"/>
          <w:kern w:val="0"/>
          <w:sz w:val="28"/>
          <w:szCs w:val="28"/>
          <w:highlight w:val="none"/>
          <w:lang w:val="en-US" w:eastAsia="zh-CN"/>
        </w:rPr>
        <w:t>道路运输经营许可证</w:t>
      </w:r>
      <w:r>
        <w:rPr>
          <w:rFonts w:hint="eastAsia" w:ascii="宋体" w:hAnsi="宋体" w:eastAsia="宋体" w:cs="宋体"/>
          <w:color w:val="auto"/>
          <w:kern w:val="0"/>
          <w:sz w:val="28"/>
          <w:szCs w:val="28"/>
          <w:highlight w:val="none"/>
        </w:rPr>
        <w:t>（复印件）；</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lang w:val="en-US" w:eastAsia="zh-CN"/>
        </w:rPr>
        <w:t xml:space="preserve">⑤ </w:t>
      </w:r>
      <w:r>
        <w:rPr>
          <w:rFonts w:hint="eastAsia" w:ascii="宋体" w:hAnsi="宋体" w:eastAsia="宋体" w:cs="宋体"/>
          <w:color w:val="auto"/>
          <w:kern w:val="0"/>
          <w:sz w:val="28"/>
          <w:szCs w:val="28"/>
          <w:highlight w:val="none"/>
          <w:lang w:eastAsia="zh-CN"/>
        </w:rPr>
        <w:t>是否对商务条款提出了招标人不能接受的条件；</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highlight w:val="none"/>
          <w:lang w:val="en-US" w:eastAsia="zh-CN"/>
        </w:rPr>
      </w:pP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lang w:val="en-US" w:eastAsia="zh-CN"/>
        </w:rPr>
        <w:t>2</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lang w:val="en-US" w:eastAsia="zh-CN"/>
        </w:rPr>
        <w:t>评分办法：</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highlight w:val="none"/>
          <w:lang w:val="en-US" w:eastAsia="zh-CN"/>
        </w:rPr>
      </w:pPr>
      <w:r>
        <w:rPr>
          <w:rFonts w:hint="eastAsia" w:ascii="宋体" w:hAnsi="宋体" w:eastAsia="宋体" w:cs="宋体"/>
          <w:color w:val="auto"/>
          <w:kern w:val="0"/>
          <w:sz w:val="28"/>
          <w:szCs w:val="28"/>
          <w:highlight w:val="none"/>
          <w:lang w:val="en-US" w:eastAsia="zh-CN"/>
        </w:rPr>
        <w:t>商务部分满分80分。以所有投标人中的有效最低报价为评标基准值，得满分80分，其余投标人报价每高于评标基准值1%，扣1分，不足1％的，按照插入法计算得分。</w:t>
      </w:r>
    </w:p>
    <w:p>
      <w:pPr>
        <w:keepNext w:val="0"/>
        <w:keepLines w:val="0"/>
        <w:pageBreakBefore w:val="0"/>
        <w:widowControl w:val="0"/>
        <w:numPr>
          <w:ilvl w:val="0"/>
          <w:numId w:val="1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技术评审</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lang w:val="en-US" w:eastAsia="zh-CN"/>
        </w:rPr>
        <w:t>1</w:t>
      </w:r>
      <w:r>
        <w:rPr>
          <w:rFonts w:hint="eastAsia" w:ascii="宋体" w:hAnsi="宋体" w:eastAsia="宋体" w:cs="宋体"/>
          <w:color w:val="auto"/>
          <w:kern w:val="0"/>
          <w:sz w:val="28"/>
          <w:szCs w:val="28"/>
          <w:highlight w:val="none"/>
          <w:lang w:eastAsia="zh-CN"/>
        </w:rPr>
        <w:t xml:space="preserve">）审查投标人是否根据招标文件的规定提供了技术文件，审核投标文件是否实质性地符合招标文件的要求，技术审查的主要内容为： </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highlight w:val="none"/>
          <w:lang w:val="en-US" w:eastAsia="zh-CN"/>
        </w:rPr>
      </w:pPr>
      <w:r>
        <w:rPr>
          <w:rFonts w:hint="eastAsia" w:ascii="宋体" w:hAnsi="宋体" w:eastAsia="宋体" w:cs="宋体"/>
          <w:color w:val="auto"/>
          <w:kern w:val="0"/>
          <w:sz w:val="28"/>
          <w:szCs w:val="28"/>
          <w:highlight w:val="none"/>
          <w:lang w:val="en-US" w:eastAsia="zh-CN"/>
        </w:rPr>
        <w:t>运输单位的管理体系运行情况、管理机构设置情况、自有粉状物料运输车（或环保自卸车）保有量、车辆综合调度能力等。</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highlight w:val="none"/>
          <w:lang w:val="en-US" w:eastAsia="zh-CN"/>
        </w:rPr>
      </w:pPr>
      <w:r>
        <w:rPr>
          <w:rFonts w:hint="eastAsia" w:ascii="宋体" w:hAnsi="宋体" w:eastAsia="宋体" w:cs="宋体"/>
          <w:color w:val="auto"/>
          <w:kern w:val="0"/>
          <w:sz w:val="28"/>
          <w:szCs w:val="28"/>
          <w:highlight w:val="none"/>
          <w:lang w:val="en-US" w:eastAsia="zh-CN"/>
        </w:rPr>
        <w:t>（2）评分办法：</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highlight w:val="none"/>
          <w:lang w:val="en-US" w:eastAsia="zh-CN"/>
        </w:rPr>
      </w:pPr>
      <w:r>
        <w:rPr>
          <w:rFonts w:hint="eastAsia" w:ascii="宋体" w:hAnsi="宋体" w:eastAsia="宋体" w:cs="宋体"/>
          <w:color w:val="auto"/>
          <w:kern w:val="0"/>
          <w:sz w:val="28"/>
          <w:szCs w:val="28"/>
          <w:highlight w:val="none"/>
          <w:lang w:val="en-US" w:eastAsia="zh-CN"/>
        </w:rPr>
        <w:t>技术部分满分20分，具体评分办法见下表：</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default" w:ascii="宋体" w:hAnsi="宋体" w:eastAsia="宋体" w:cs="宋体"/>
          <w:color w:val="auto"/>
          <w:kern w:val="0"/>
          <w:sz w:val="28"/>
          <w:szCs w:val="28"/>
          <w:highlight w:val="none"/>
          <w:lang w:val="en-US" w:eastAsia="zh-CN"/>
        </w:rPr>
      </w:pPr>
    </w:p>
    <w:tbl>
      <w:tblPr>
        <w:tblStyle w:val="22"/>
        <w:tblW w:w="9525"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
        <w:gridCol w:w="3060"/>
        <w:gridCol w:w="444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1" w:firstLineChars="100"/>
              <w:jc w:val="center"/>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序号</w:t>
            </w:r>
          </w:p>
        </w:tc>
        <w:tc>
          <w:tcPr>
            <w:tcW w:w="3060"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1" w:firstLineChars="100"/>
              <w:jc w:val="center"/>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评分内容</w:t>
            </w:r>
          </w:p>
        </w:tc>
        <w:tc>
          <w:tcPr>
            <w:tcW w:w="4440"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1" w:firstLineChars="100"/>
              <w:jc w:val="center"/>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评分细则</w:t>
            </w:r>
          </w:p>
        </w:tc>
        <w:tc>
          <w:tcPr>
            <w:tcW w:w="1080"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1" w:firstLineChars="100"/>
              <w:jc w:val="center"/>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基准分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 w:type="dxa"/>
            <w:noWrap w:val="0"/>
            <w:vAlign w:val="top"/>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3060" w:type="dxa"/>
            <w:noWrap w:val="0"/>
            <w:vAlign w:val="top"/>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有完整的调度管理机构</w:t>
            </w:r>
          </w:p>
        </w:tc>
        <w:tc>
          <w:tcPr>
            <w:tcW w:w="4440" w:type="dxa"/>
            <w:noWrap w:val="0"/>
            <w:vAlign w:val="top"/>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提供相关人员名单、文件等证明材料</w:t>
            </w:r>
          </w:p>
        </w:tc>
        <w:tc>
          <w:tcPr>
            <w:tcW w:w="1080" w:type="dxa"/>
            <w:noWrap w:val="0"/>
            <w:vAlign w:val="top"/>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 w:type="dxa"/>
            <w:noWrap w:val="0"/>
            <w:vAlign w:val="top"/>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w:t>
            </w:r>
          </w:p>
        </w:tc>
        <w:tc>
          <w:tcPr>
            <w:tcW w:w="3060" w:type="dxa"/>
            <w:noWrap w:val="0"/>
            <w:vAlign w:val="top"/>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自有粉状物料运输车（或环保自卸车）保有量</w:t>
            </w:r>
          </w:p>
        </w:tc>
        <w:tc>
          <w:tcPr>
            <w:tcW w:w="4440" w:type="dxa"/>
            <w:noWrap w:val="0"/>
            <w:vAlign w:val="top"/>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提供机动车登记证书及符合要求的保险证明</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A档自有车辆10台以上得15分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B档自有车辆5-10台得10分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C档自有车辆5台及以下得5分</w:t>
            </w:r>
          </w:p>
        </w:tc>
        <w:tc>
          <w:tcPr>
            <w:tcW w:w="1080" w:type="dxa"/>
            <w:noWrap w:val="0"/>
            <w:vAlign w:val="top"/>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15分</w:t>
            </w:r>
          </w:p>
        </w:tc>
      </w:tr>
    </w:tbl>
    <w:p>
      <w:pPr>
        <w:keepNext w:val="0"/>
        <w:keepLines w:val="0"/>
        <w:pageBreakBefore w:val="0"/>
        <w:widowControl w:val="0"/>
        <w:numPr>
          <w:ilvl w:val="0"/>
          <w:numId w:val="1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重大偏差</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lang w:eastAsia="zh-CN"/>
        </w:rPr>
        <w:t>重大偏差是指对关键条文的偏离、保留或反对的条款，如接受将不能实现招标的目的，或将妨碍与满足招标文件要求的投标进行公平比较的偏差。投标文件有以下情况之一的属重大偏差：</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lang w:eastAsia="zh-CN"/>
        </w:rPr>
        <w:t>（1）未按招标文件规定签字、盖章的；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lang w:eastAsia="zh-CN"/>
        </w:rPr>
        <w:t>（2）无法定代表人出具授权委托书的（适用于授权代理人签署投标文件的情况）；</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lang w:eastAsia="zh-CN"/>
        </w:rPr>
        <w:t>（3）投标人与投标邀请函单位不一致的；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lang w:eastAsia="zh-CN"/>
        </w:rPr>
        <w:t>（4）未按招标文件规定填写关键内容，或关键内容字迹模糊、无法辨认的；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lang w:eastAsia="zh-CN"/>
        </w:rPr>
        <w:t>（5）投标人递交两份或多份内容不同的投标文件、或提供虚假资料、或串通投标的；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lang w:eastAsia="zh-CN"/>
        </w:rPr>
        <w:t>（6）出现招标人不能接受的条款和要求的，如付款条件、减少或减轻投标人的责任和义务的；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lang w:eastAsia="zh-CN"/>
        </w:rPr>
        <w:t>（7）如果投标人不接受经评审委员会按报价评审的规定对其修正后的报价的；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lang w:eastAsia="zh-CN"/>
        </w:rPr>
        <w:t>（8）投标有效期不满足招标文件要求的；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lang w:eastAsia="zh-CN"/>
        </w:rPr>
        <w:t>（9）招标文件规定可以废标的其他情况。</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投标文件的拒绝</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lang w:eastAsia="zh-CN"/>
        </w:rPr>
        <w:t xml:space="preserve">  评标委员会对投标文件评审的结果进行汇总审核，对出现下列情况之一的投标将被拒绝：</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lang w:eastAsia="zh-CN"/>
        </w:rPr>
        <w:t>（1）低于成本价竞标的或超过招标人可以接受的价格时；</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lang w:eastAsia="zh-CN"/>
        </w:rPr>
        <w:t>（2）被确定为有重大偏差的；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lang w:eastAsia="zh-CN"/>
        </w:rPr>
        <w:t>（3）投标人串通投标、以行贿手段谋取中标或者以其他弄虚作假方式投标的。</w:t>
      </w:r>
      <w:bookmarkStart w:id="11" w:name="_Toc248296427"/>
      <w:bookmarkStart w:id="12" w:name="_Toc227583049"/>
    </w:p>
    <w:bookmarkEnd w:id="11"/>
    <w:bookmarkEnd w:id="12"/>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bookmarkStart w:id="13" w:name="_Toc248296429"/>
      <w:bookmarkStart w:id="14" w:name="_Toc227583051"/>
      <w:r>
        <w:rPr>
          <w:rFonts w:hint="eastAsia" w:ascii="宋体" w:hAnsi="宋体" w:eastAsia="宋体" w:cs="宋体"/>
          <w:b/>
          <w:bCs/>
          <w:color w:val="auto"/>
          <w:sz w:val="28"/>
          <w:szCs w:val="28"/>
          <w:highlight w:val="none"/>
          <w:lang w:val="en-US" w:eastAsia="zh-CN"/>
        </w:rPr>
        <w:t>拒绝所有投标</w:t>
      </w:r>
      <w:bookmarkEnd w:id="13"/>
      <w:bookmarkEnd w:id="14"/>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在评审过程中，出现下列情况之一的，评标委员会可以拒绝所有投标：</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lang w:eastAsia="zh-CN"/>
        </w:rPr>
        <w:t>（1）投标人都不能通过评审；</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lang w:eastAsia="zh-CN"/>
        </w:rPr>
        <w:t>（2）有效投标人少于三个使得投标明显缺乏竞争性的；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lang w:eastAsia="zh-CN"/>
        </w:rPr>
        <w:t>（3）投标文件都不能满足招标文件要求；</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lang w:eastAsia="zh-CN"/>
        </w:rPr>
        <w:t>（4）经评标委员会认定所有投标人串通投标损害招标人利益的。</w:t>
      </w:r>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所有投标报价均超过招标人可以接受的价格时，招标人有权拒绝投标。</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p>
    <w:p>
      <w:pPr>
        <w:rPr>
          <w:rFonts w:hint="eastAsia" w:ascii="Arial" w:hAnsi="Arial" w:eastAsia="宋体" w:cs="宋体"/>
          <w:b/>
          <w:bCs/>
          <w:color w:val="auto"/>
          <w:kern w:val="2"/>
          <w:sz w:val="44"/>
          <w:szCs w:val="44"/>
          <w:highlight w:val="none"/>
          <w:lang w:val="en-US" w:eastAsia="zh-CN"/>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highlight w:val="none"/>
          <w:lang w:val="en-US" w:eastAsia="zh-CN"/>
        </w:rPr>
      </w:pPr>
      <w:r>
        <w:rPr>
          <w:rFonts w:hint="eastAsia" w:ascii="Arial" w:hAnsi="Arial" w:eastAsia="宋体" w:cs="宋体"/>
          <w:b/>
          <w:bCs/>
          <w:color w:val="auto"/>
          <w:kern w:val="2"/>
          <w:sz w:val="44"/>
          <w:szCs w:val="44"/>
          <w:highlight w:val="none"/>
          <w:lang w:val="en-US" w:eastAsia="zh-CN"/>
        </w:rPr>
        <w:t>合同主要条款</w:t>
      </w:r>
    </w:p>
    <w:p>
      <w:pPr>
        <w:keepNext w:val="0"/>
        <w:keepLines w:val="0"/>
        <w:pageBreakBefore w:val="0"/>
        <w:widowControl w:val="0"/>
        <w:numPr>
          <w:ilvl w:val="0"/>
          <w:numId w:val="17"/>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运输车辆要求：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1、车辆型号：罐式粉状物料运输车（或环保自卸车），额定载重量不低于30吨；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2、车辆需具备自行泵送物料的功能；</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3、车辆需配备GPS定位设备，可实时监控位置；</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4、车辆必须具备道路运输资格，保险手续齐全；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kern w:val="0"/>
          <w:sz w:val="28"/>
          <w:szCs w:val="28"/>
          <w:highlight w:val="none"/>
          <w:lang w:val="en-US" w:eastAsia="zh-CN" w:bidi="ar"/>
        </w:rPr>
        <w:t>5、驾驶员必须持证上岗，无重大运输违法记录。</w:t>
      </w:r>
    </w:p>
    <w:p>
      <w:pPr>
        <w:keepNext w:val="0"/>
        <w:keepLines w:val="0"/>
        <w:pageBreakBefore w:val="0"/>
        <w:widowControl w:val="0"/>
        <w:numPr>
          <w:ilvl w:val="0"/>
          <w:numId w:val="17"/>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运输货物概况：</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1、货物名称：***</w:t>
      </w:r>
      <w:r>
        <w:rPr>
          <w:rFonts w:hint="eastAsia" w:ascii="宋体" w:hAnsi="宋体" w:eastAsia="宋体" w:cs="宋体"/>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2、货物性质：细度</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lang w:val="en-US" w:eastAsia="zh-CN"/>
        </w:rPr>
        <w:t>，堆积密度</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none"/>
          <w:lang w:val="en-US" w:eastAsia="zh-CN"/>
        </w:rPr>
        <w:t>，</w:t>
      </w:r>
      <w:r>
        <w:rPr>
          <w:rFonts w:hint="eastAsia" w:ascii="宋体" w:hAnsi="宋体" w:eastAsia="宋体" w:cs="宋体"/>
          <w:color w:val="auto"/>
          <w:sz w:val="28"/>
          <w:szCs w:val="28"/>
          <w:highlight w:val="none"/>
          <w:lang w:val="en-US" w:eastAsia="zh-CN"/>
        </w:rPr>
        <w:t>含水率</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3、货物运输要求：运输及泵送过程中保证密封，不得接触水等其他物料；</w:t>
      </w:r>
    </w:p>
    <w:p>
      <w:pPr>
        <w:keepNext w:val="0"/>
        <w:keepLines w:val="0"/>
        <w:pageBreakBefore w:val="0"/>
        <w:widowControl w:val="0"/>
        <w:numPr>
          <w:ilvl w:val="0"/>
          <w:numId w:val="17"/>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承运内容：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甲方将部分</w:t>
      </w:r>
      <w:r>
        <w:rPr>
          <w:rFonts w:hint="eastAsia" w:ascii="宋体" w:hAnsi="宋体" w:eastAsia="宋体" w:cs="宋体"/>
          <w:color w:val="auto"/>
          <w:sz w:val="28"/>
          <w:szCs w:val="28"/>
          <w:highlight w:val="none"/>
          <w:lang w:eastAsia="zh-CN"/>
        </w:rPr>
        <w:t>原材料</w:t>
      </w:r>
      <w:r>
        <w:rPr>
          <w:rFonts w:hint="eastAsia" w:ascii="宋体" w:hAnsi="宋体" w:eastAsia="宋体" w:cs="宋体"/>
          <w:color w:val="auto"/>
          <w:sz w:val="28"/>
          <w:szCs w:val="28"/>
          <w:highlight w:val="none"/>
        </w:rPr>
        <w:t>运输发包给乙方,由乙方承包运输,乙方负责从甲方指定地点装车</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运输到甲方</w:t>
      </w:r>
      <w:r>
        <w:rPr>
          <w:rFonts w:hint="eastAsia" w:ascii="宋体" w:hAnsi="宋体" w:eastAsia="宋体" w:cs="宋体"/>
          <w:color w:val="auto"/>
          <w:sz w:val="28"/>
          <w:szCs w:val="28"/>
          <w:highlight w:val="none"/>
          <w:lang w:eastAsia="zh-CN"/>
        </w:rPr>
        <w:t>厂区，</w:t>
      </w:r>
      <w:r>
        <w:rPr>
          <w:rFonts w:hint="eastAsia" w:ascii="宋体" w:hAnsi="宋体" w:eastAsia="宋体" w:cs="宋体"/>
          <w:color w:val="auto"/>
          <w:sz w:val="28"/>
          <w:szCs w:val="28"/>
          <w:highlight w:val="none"/>
          <w:lang w:val="en-US" w:eastAsia="zh-CN"/>
        </w:rPr>
        <w:t>并</w:t>
      </w:r>
      <w:r>
        <w:rPr>
          <w:rFonts w:hint="eastAsia" w:ascii="宋体" w:hAnsi="宋体" w:eastAsia="宋体" w:cs="宋体"/>
          <w:color w:val="auto"/>
          <w:sz w:val="28"/>
          <w:szCs w:val="28"/>
          <w:highlight w:val="none"/>
        </w:rPr>
        <w:t>卸货</w:t>
      </w:r>
      <w:r>
        <w:rPr>
          <w:rFonts w:hint="eastAsia" w:ascii="宋体" w:hAnsi="宋体" w:eastAsia="宋体" w:cs="宋体"/>
          <w:color w:val="auto"/>
          <w:sz w:val="28"/>
          <w:szCs w:val="28"/>
          <w:highlight w:val="none"/>
          <w:lang w:val="en-US" w:eastAsia="zh-CN"/>
        </w:rPr>
        <w:t>至指定料仓</w:t>
      </w:r>
      <w:r>
        <w:rPr>
          <w:rFonts w:hint="eastAsia" w:ascii="宋体" w:hAnsi="宋体" w:eastAsia="宋体" w:cs="宋体"/>
          <w:color w:val="auto"/>
          <w:sz w:val="28"/>
          <w:szCs w:val="28"/>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lang w:val="en-US" w:eastAsia="zh-CN"/>
        </w:rPr>
        <w:t>起点：</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none"/>
          <w:lang w:val="en-US" w:eastAsia="zh-CN"/>
        </w:rPr>
        <w:t>，</w:t>
      </w:r>
      <w:r>
        <w:rPr>
          <w:rFonts w:hint="eastAsia" w:ascii="宋体" w:hAnsi="宋体" w:eastAsia="宋体" w:cs="宋体"/>
          <w:color w:val="auto"/>
          <w:sz w:val="28"/>
          <w:szCs w:val="28"/>
          <w:highlight w:val="none"/>
          <w:lang w:val="en-US" w:eastAsia="zh-CN"/>
        </w:rPr>
        <w:t>终点：</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lang w:val="en-US" w:eastAsia="zh-CN"/>
        </w:rPr>
        <w:t>运输量：</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none"/>
          <w:lang w:val="en-US" w:eastAsia="zh-CN"/>
        </w:rPr>
        <w:t>。</w:t>
      </w:r>
    </w:p>
    <w:p>
      <w:pPr>
        <w:keepNext w:val="0"/>
        <w:keepLines w:val="0"/>
        <w:pageBreakBefore w:val="0"/>
        <w:widowControl w:val="0"/>
        <w:numPr>
          <w:ilvl w:val="0"/>
          <w:numId w:val="17"/>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合同期限：</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val="0"/>
          <w:bCs w:val="0"/>
          <w:color w:val="auto"/>
          <w:sz w:val="28"/>
          <w:szCs w:val="28"/>
          <w:highlight w:val="none"/>
          <w:u w:val="single"/>
          <w:lang w:val="en-US" w:eastAsia="zh-CN"/>
        </w:rPr>
      </w:pPr>
      <w:r>
        <w:rPr>
          <w:rFonts w:hint="eastAsia" w:ascii="宋体" w:hAnsi="宋体" w:eastAsia="宋体" w:cs="宋体"/>
          <w:b w:val="0"/>
          <w:bCs w:val="0"/>
          <w:color w:val="auto"/>
          <w:sz w:val="28"/>
          <w:szCs w:val="28"/>
          <w:highlight w:val="none"/>
          <w:u w:val="single"/>
          <w:lang w:val="en-US" w:eastAsia="zh-CN"/>
        </w:rPr>
        <w:t xml:space="preserve">       年    月    日至       年    月    日。</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val="0"/>
          <w:bCs w:val="0"/>
          <w:color w:val="auto"/>
          <w:sz w:val="28"/>
          <w:szCs w:val="28"/>
          <w:highlight w:val="none"/>
          <w:u w:val="single"/>
          <w:lang w:val="en-US" w:eastAsia="zh-CN"/>
        </w:rPr>
      </w:pPr>
    </w:p>
    <w:p>
      <w:pPr>
        <w:keepNext w:val="0"/>
        <w:keepLines w:val="0"/>
        <w:pageBreakBefore w:val="0"/>
        <w:widowControl w:val="0"/>
        <w:numPr>
          <w:ilvl w:val="0"/>
          <w:numId w:val="17"/>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运输价格：</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5"/>
        <w:gridCol w:w="2968"/>
        <w:gridCol w:w="3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89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运输起点</w:t>
            </w:r>
          </w:p>
        </w:tc>
        <w:tc>
          <w:tcPr>
            <w:tcW w:w="296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运输终点</w:t>
            </w:r>
          </w:p>
        </w:tc>
        <w:tc>
          <w:tcPr>
            <w:tcW w:w="352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含税</w:t>
            </w:r>
            <w:r>
              <w:rPr>
                <w:rFonts w:hint="eastAsia" w:ascii="宋体" w:hAnsi="宋体" w:eastAsia="宋体" w:cs="宋体"/>
                <w:color w:val="auto"/>
                <w:sz w:val="28"/>
                <w:szCs w:val="28"/>
                <w:highlight w:val="none"/>
              </w:rPr>
              <w:t>单价（元 /吨）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89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highlight w:val="none"/>
              </w:rPr>
            </w:pPr>
          </w:p>
        </w:tc>
        <w:tc>
          <w:tcPr>
            <w:tcW w:w="296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甲方仓库</w:t>
            </w:r>
          </w:p>
        </w:tc>
        <w:tc>
          <w:tcPr>
            <w:tcW w:w="352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highlight w:val="none"/>
              </w:rPr>
            </w:pPr>
          </w:p>
        </w:tc>
      </w:tr>
    </w:tbl>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注：以上单价含9%增值税，如遇税率调整，按税前单价调整执行。</w:t>
      </w:r>
    </w:p>
    <w:p>
      <w:pPr>
        <w:keepNext w:val="0"/>
        <w:keepLines w:val="0"/>
        <w:pageBreakBefore w:val="0"/>
        <w:widowControl w:val="0"/>
        <w:numPr>
          <w:ilvl w:val="0"/>
          <w:numId w:val="17"/>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货物的计量与损耗：</w:t>
      </w:r>
    </w:p>
    <w:p>
      <w:pPr>
        <w:keepNext w:val="0"/>
        <w:keepLines w:val="0"/>
        <w:pageBreakBefore w:val="0"/>
        <w:widowControl w:val="0"/>
        <w:numPr>
          <w:ilvl w:val="0"/>
          <w:numId w:val="18"/>
        </w:numPr>
        <w:kinsoku/>
        <w:wordWrap/>
        <w:overflowPunct/>
        <w:topLinePunct w:val="0"/>
        <w:autoSpaceDE/>
        <w:autoSpaceDN/>
        <w:bidi w:val="0"/>
        <w:adjustRightInd/>
        <w:snapToGrid/>
        <w:spacing w:line="520" w:lineRule="exact"/>
        <w:ind w:left="0" w:leftChars="0" w:firstLine="638" w:firstLineChars="228"/>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计量：乙方车辆进出甲方指定地点厂区时过磅计货物净重，完成全部承运货物的足额卸货，并在进出甲方终点厂区过磅及货物净重。以甲方磅单数量结算运费。</w:t>
      </w:r>
    </w:p>
    <w:p>
      <w:pPr>
        <w:keepNext w:val="0"/>
        <w:keepLines w:val="0"/>
        <w:pageBreakBefore w:val="0"/>
        <w:widowControl w:val="0"/>
        <w:numPr>
          <w:ilvl w:val="0"/>
          <w:numId w:val="18"/>
        </w:numPr>
        <w:kinsoku/>
        <w:wordWrap/>
        <w:overflowPunct/>
        <w:topLinePunct w:val="0"/>
        <w:autoSpaceDE/>
        <w:autoSpaceDN/>
        <w:bidi w:val="0"/>
        <w:adjustRightInd/>
        <w:snapToGrid/>
        <w:spacing w:line="520" w:lineRule="exact"/>
        <w:ind w:left="0" w:leftChars="0" w:firstLine="638" w:firstLineChars="228"/>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损耗：乙方需足额完成卸货，并避免装、运、卸过程中不必要的货物损失，损耗率需控制在</w:t>
      </w:r>
      <w:r>
        <w:rPr>
          <w:rFonts w:hint="eastAsia" w:ascii="宋体" w:hAnsi="宋体" w:eastAsia="宋体" w:cs="宋体"/>
          <w:color w:val="auto"/>
          <w:sz w:val="28"/>
          <w:szCs w:val="28"/>
          <w:highlight w:val="none"/>
          <w:u w:val="single"/>
          <w:lang w:val="en-US" w:eastAsia="zh-CN"/>
        </w:rPr>
        <w:t xml:space="preserve"> 2‰ </w:t>
      </w:r>
      <w:r>
        <w:rPr>
          <w:rFonts w:hint="eastAsia" w:ascii="宋体" w:hAnsi="宋体" w:eastAsia="宋体" w:cs="宋体"/>
          <w:color w:val="auto"/>
          <w:sz w:val="28"/>
          <w:szCs w:val="28"/>
          <w:highlight w:val="none"/>
          <w:u w:val="none"/>
          <w:lang w:val="en-US" w:eastAsia="zh-CN"/>
        </w:rPr>
        <w:t>以内，超出部分的损耗由乙方承担，按甲方矿粉采购价格计算损失，自乙方当月运输费中扣除。</w:t>
      </w:r>
    </w:p>
    <w:p>
      <w:pPr>
        <w:keepNext w:val="0"/>
        <w:keepLines w:val="0"/>
        <w:pageBreakBefore w:val="0"/>
        <w:widowControl w:val="0"/>
        <w:numPr>
          <w:ilvl w:val="0"/>
          <w:numId w:val="17"/>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结算和支付：</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1、运输费</w:t>
      </w:r>
      <w:r>
        <w:rPr>
          <w:rFonts w:hint="eastAsia" w:ascii="宋体" w:hAnsi="宋体" w:eastAsia="宋体" w:cs="宋体"/>
          <w:color w:val="auto"/>
          <w:sz w:val="28"/>
          <w:szCs w:val="28"/>
          <w:highlight w:val="none"/>
          <w:lang w:val="en-US" w:eastAsia="zh-CN"/>
        </w:rPr>
        <w:t>结算</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上月26日至当</w:t>
      </w:r>
      <w:r>
        <w:rPr>
          <w:rFonts w:hint="eastAsia" w:ascii="宋体" w:hAnsi="宋体" w:eastAsia="宋体" w:cs="宋体"/>
          <w:color w:val="auto"/>
          <w:sz w:val="28"/>
          <w:szCs w:val="28"/>
          <w:highlight w:val="none"/>
        </w:rPr>
        <w:t>月2</w:t>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rPr>
        <w:t>日</w:t>
      </w:r>
      <w:r>
        <w:rPr>
          <w:rFonts w:hint="eastAsia" w:ascii="宋体" w:hAnsi="宋体" w:eastAsia="宋体" w:cs="宋体"/>
          <w:color w:val="auto"/>
          <w:sz w:val="28"/>
          <w:szCs w:val="28"/>
          <w:highlight w:val="none"/>
          <w:lang w:val="en-US" w:eastAsia="zh-CN"/>
        </w:rPr>
        <w:t>为一个结算周期</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乙方应在每月26日提供当月结算清单（附出厂磅单和甲方磅单）至甲方物资部门，配合甲方工作人员完成结算审核。审核后，乙方依据结算单在当月30日前开注增值税专用发票交甲方物资部门，由甲方物资部门办理入账手续。</w:t>
      </w:r>
    </w:p>
    <w:p>
      <w:pPr>
        <w:keepNext w:val="0"/>
        <w:keepLines w:val="0"/>
        <w:pageBreakBefore w:val="0"/>
        <w:widowControl w:val="0"/>
        <w:kinsoku/>
        <w:wordWrap/>
        <w:overflowPunct/>
        <w:topLinePunct w:val="0"/>
        <w:autoSpaceDE/>
        <w:autoSpaceDN/>
        <w:bidi w:val="0"/>
        <w:adjustRightInd/>
        <w:snapToGrid/>
        <w:spacing w:line="520" w:lineRule="exact"/>
        <w:ind w:left="279" w:leftChars="133" w:firstLine="280" w:firstLineChars="100"/>
        <w:textAlignment w:val="auto"/>
        <w:rPr>
          <w:rFonts w:hint="eastAsia" w:ascii="宋体" w:hAnsi="宋体" w:eastAsia="宋体" w:cs="宋体"/>
          <w:strike/>
          <w:dstrike w:val="0"/>
          <w:color w:val="auto"/>
          <w:sz w:val="28"/>
          <w:szCs w:val="28"/>
          <w:highlight w:val="none"/>
          <w:lang w:val="en-US" w:eastAsia="zh-CN"/>
        </w:rPr>
      </w:pPr>
      <w:r>
        <w:rPr>
          <w:rFonts w:hint="eastAsia" w:ascii="宋体" w:hAnsi="宋体" w:eastAsia="宋体" w:cs="宋体"/>
          <w:color w:val="auto"/>
          <w:sz w:val="28"/>
          <w:szCs w:val="28"/>
          <w:highlight w:val="none"/>
          <w:lang w:val="en-US" w:eastAsia="zh-CN"/>
        </w:rPr>
        <w:t>2、运输费支付：甲方按入账金额在次月支付</w:t>
      </w:r>
      <w:r>
        <w:rPr>
          <w:rFonts w:hint="eastAsia" w:ascii="宋体" w:hAnsi="宋体" w:eastAsia="宋体" w:cs="宋体"/>
          <w:color w:val="auto"/>
          <w:sz w:val="28"/>
          <w:szCs w:val="28"/>
          <w:highlight w:val="none"/>
          <w:u w:val="single"/>
          <w:lang w:val="en-US" w:eastAsia="zh-CN"/>
        </w:rPr>
        <w:t xml:space="preserve"> 70% </w:t>
      </w:r>
      <w:r>
        <w:rPr>
          <w:rFonts w:hint="eastAsia" w:ascii="宋体" w:hAnsi="宋体" w:eastAsia="宋体" w:cs="宋体"/>
          <w:color w:val="auto"/>
          <w:sz w:val="28"/>
          <w:szCs w:val="28"/>
          <w:highlight w:val="none"/>
          <w:u w:val="none"/>
          <w:lang w:val="en-US" w:eastAsia="zh-CN"/>
        </w:rPr>
        <w:t>，年底付至</w:t>
      </w:r>
      <w:r>
        <w:rPr>
          <w:rFonts w:hint="eastAsia" w:ascii="宋体" w:hAnsi="宋体" w:eastAsia="宋体" w:cs="宋体"/>
          <w:color w:val="auto"/>
          <w:sz w:val="28"/>
          <w:szCs w:val="28"/>
          <w:highlight w:val="none"/>
          <w:u w:val="single"/>
          <w:lang w:val="en-US" w:eastAsia="zh-CN"/>
        </w:rPr>
        <w:t xml:space="preserve"> 90% </w:t>
      </w:r>
      <w:r>
        <w:rPr>
          <w:rFonts w:hint="eastAsia" w:ascii="宋体" w:hAnsi="宋体" w:eastAsia="宋体" w:cs="宋体"/>
          <w:color w:val="auto"/>
          <w:sz w:val="28"/>
          <w:szCs w:val="28"/>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乙</w:t>
      </w:r>
      <w:r>
        <w:rPr>
          <w:rFonts w:hint="eastAsia" w:ascii="宋体" w:hAnsi="宋体" w:eastAsia="宋体" w:cs="宋体"/>
          <w:color w:val="auto"/>
          <w:sz w:val="28"/>
          <w:szCs w:val="28"/>
          <w:highlight w:val="none"/>
        </w:rPr>
        <w:t>方</w:t>
      </w:r>
      <w:r>
        <w:rPr>
          <w:rFonts w:hint="eastAsia" w:ascii="宋体" w:hAnsi="宋体" w:eastAsia="宋体" w:cs="宋体"/>
          <w:color w:val="auto"/>
          <w:sz w:val="28"/>
          <w:szCs w:val="28"/>
          <w:highlight w:val="none"/>
          <w:lang w:val="en-US" w:eastAsia="zh-CN"/>
        </w:rPr>
        <w:t>应按时提供当月全额结算单，不得遗漏出厂磅单和甲方磅单。如乙方</w:t>
      </w:r>
      <w:r>
        <w:rPr>
          <w:rFonts w:hint="eastAsia" w:ascii="宋体" w:hAnsi="宋体" w:eastAsia="宋体" w:cs="宋体"/>
          <w:color w:val="auto"/>
          <w:sz w:val="28"/>
          <w:szCs w:val="28"/>
          <w:highlight w:val="none"/>
        </w:rPr>
        <w:t>未能在月底前提供</w:t>
      </w:r>
      <w:r>
        <w:rPr>
          <w:rFonts w:hint="eastAsia" w:ascii="宋体" w:hAnsi="宋体" w:eastAsia="宋体" w:cs="宋体"/>
          <w:color w:val="auto"/>
          <w:sz w:val="28"/>
          <w:szCs w:val="28"/>
          <w:highlight w:val="none"/>
          <w:lang w:val="en-US" w:eastAsia="zh-CN"/>
        </w:rPr>
        <w:t>当月</w:t>
      </w:r>
      <w:r>
        <w:rPr>
          <w:rFonts w:hint="eastAsia" w:ascii="宋体" w:hAnsi="宋体" w:eastAsia="宋体" w:cs="宋体"/>
          <w:color w:val="auto"/>
          <w:sz w:val="28"/>
          <w:szCs w:val="28"/>
          <w:highlight w:val="none"/>
        </w:rPr>
        <w:t>运输</w:t>
      </w:r>
      <w:r>
        <w:rPr>
          <w:rFonts w:hint="eastAsia" w:ascii="宋体" w:hAnsi="宋体" w:eastAsia="宋体" w:cs="宋体"/>
          <w:color w:val="auto"/>
          <w:sz w:val="28"/>
          <w:szCs w:val="28"/>
          <w:highlight w:val="none"/>
          <w:lang w:val="en-US" w:eastAsia="zh-CN"/>
        </w:rPr>
        <w:t>结算单</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则</w:t>
      </w:r>
      <w:r>
        <w:rPr>
          <w:rFonts w:hint="eastAsia" w:ascii="宋体" w:hAnsi="宋体" w:eastAsia="宋体" w:cs="宋体"/>
          <w:color w:val="auto"/>
          <w:sz w:val="28"/>
          <w:szCs w:val="28"/>
          <w:highlight w:val="none"/>
        </w:rPr>
        <w:t>延期至下月办理,付款亦顺延</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同时罚款</w:t>
      </w:r>
      <w:r>
        <w:rPr>
          <w:rFonts w:hint="eastAsia" w:ascii="宋体" w:hAnsi="宋体" w:eastAsia="宋体" w:cs="宋体"/>
          <w:color w:val="auto"/>
          <w:sz w:val="28"/>
          <w:szCs w:val="28"/>
          <w:highlight w:val="none"/>
          <w:u w:val="single"/>
          <w:lang w:val="en-US" w:eastAsia="zh-CN"/>
        </w:rPr>
        <w:t xml:space="preserve"> 2000元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如由乙方原因造成漏单，次月补办时甲方有权扣除所漏磅单运输费的</w:t>
      </w:r>
      <w:r>
        <w:rPr>
          <w:rFonts w:hint="eastAsia" w:ascii="宋体" w:hAnsi="宋体" w:eastAsia="宋体" w:cs="宋体"/>
          <w:color w:val="auto"/>
          <w:sz w:val="28"/>
          <w:szCs w:val="28"/>
          <w:highlight w:val="none"/>
          <w:u w:val="single"/>
          <w:lang w:val="en-US" w:eastAsia="zh-CN"/>
        </w:rPr>
        <w:t xml:space="preserve"> 20% </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无回单（运输联）或签收不符合要求不予结算运费。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4、甲方开票信息：</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名称：铜陵铜冠建安新型环保建材科技有限公司；</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纳税人识别号：91340700090790738A；</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地址、电话：安徽省铜陵市经济技术开发区、0562-5861530；</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开户行及账号：中国银行铜陵分行义安支行179725225176。</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5、乙方收款账户：</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收款单位名称：</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纳税人识别号：</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地址、电话：</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开</w:t>
      </w:r>
      <w:r>
        <w:rPr>
          <w:rFonts w:hint="eastAsia" w:ascii="宋体" w:hAnsi="宋体" w:eastAsia="宋体" w:cs="宋体"/>
          <w:color w:val="auto"/>
          <w:sz w:val="28"/>
          <w:szCs w:val="28"/>
          <w:highlight w:val="none"/>
        </w:rPr>
        <w:t>户行及账号：</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lang w:eastAsia="zh-CN"/>
        </w:rPr>
        <w:t>。</w:t>
      </w:r>
    </w:p>
    <w:p>
      <w:pPr>
        <w:keepNext w:val="0"/>
        <w:keepLines w:val="0"/>
        <w:pageBreakBefore w:val="0"/>
        <w:widowControl w:val="0"/>
        <w:numPr>
          <w:ilvl w:val="0"/>
          <w:numId w:val="17"/>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甲方的义务和责任：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1、按照双方约定向乙方支付运费。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2、甲方保证厂区内道路顺畅，司磅及时。</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、甲方应</w:t>
      </w:r>
      <w:r>
        <w:rPr>
          <w:rFonts w:hint="eastAsia" w:ascii="宋体" w:hAnsi="宋体" w:eastAsia="宋体" w:cs="宋体"/>
          <w:color w:val="auto"/>
          <w:sz w:val="28"/>
          <w:szCs w:val="28"/>
          <w:highlight w:val="none"/>
          <w:lang w:val="en-US" w:eastAsia="zh-CN"/>
        </w:rPr>
        <w:t>在每天下午16:00前报送次日的需求计划，以便乙方及时安排运输车辆。</w:t>
      </w:r>
      <w:r>
        <w:rPr>
          <w:rFonts w:hint="eastAsia" w:ascii="宋体" w:hAnsi="宋体" w:eastAsia="宋体" w:cs="宋体"/>
          <w:color w:val="auto"/>
          <w:sz w:val="28"/>
          <w:szCs w:val="28"/>
          <w:highlight w:val="none"/>
        </w:rPr>
        <w:t xml:space="preserve">                              </w:t>
      </w:r>
    </w:p>
    <w:p>
      <w:pPr>
        <w:keepNext w:val="0"/>
        <w:keepLines w:val="0"/>
        <w:pageBreakBefore w:val="0"/>
        <w:widowControl w:val="0"/>
        <w:numPr>
          <w:ilvl w:val="0"/>
          <w:numId w:val="17"/>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乙方的义务和责任：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1、乙方负责提供充足的车辆资源,运输车辆的车型、车况应符合甲方货物运输、卸货的要求,并保证货物按甲方约定的时间将货物安全送达。</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2、乙方承运司机和车辆应证件齐全</w:t>
      </w:r>
      <w:r>
        <w:rPr>
          <w:rFonts w:hint="eastAsia" w:ascii="宋体" w:hAnsi="宋体" w:cs="宋体"/>
          <w:color w:val="auto"/>
          <w:sz w:val="28"/>
          <w:szCs w:val="28"/>
          <w:highlight w:val="none"/>
          <w:lang w:eastAsia="zh-CN"/>
        </w:rPr>
        <w:t>，持证上岗</w:t>
      </w:r>
      <w:r>
        <w:rPr>
          <w:rFonts w:hint="eastAsia" w:ascii="宋体" w:hAnsi="宋体" w:eastAsia="宋体" w:cs="宋体"/>
          <w:color w:val="auto"/>
          <w:sz w:val="28"/>
          <w:szCs w:val="28"/>
          <w:highlight w:val="none"/>
        </w:rPr>
        <w:t>,车容车貌整洁干净,并承担全程运输安全义务,对运输过程中货物的损毁、丢失及在运输过程中所发生的一切违章及交通事故均与甲方无关。由此给甲方造成的经济损失由乙方承担。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3、甲方发出</w:t>
      </w:r>
      <w:r>
        <w:rPr>
          <w:rFonts w:hint="eastAsia" w:ascii="宋体" w:hAnsi="宋体" w:cs="宋体"/>
          <w:color w:val="auto"/>
          <w:sz w:val="28"/>
          <w:szCs w:val="28"/>
          <w:highlight w:val="none"/>
          <w:lang w:val="en-US" w:eastAsia="zh-CN"/>
        </w:rPr>
        <w:t>运输</w:t>
      </w:r>
      <w:r>
        <w:rPr>
          <w:rFonts w:hint="eastAsia" w:ascii="宋体" w:hAnsi="宋体" w:eastAsia="宋体" w:cs="宋体"/>
          <w:color w:val="auto"/>
          <w:sz w:val="28"/>
          <w:szCs w:val="28"/>
          <w:highlight w:val="none"/>
        </w:rPr>
        <w:t>指令</w:t>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rPr>
        <w:t>小时内,乙方车辆必须到</w:t>
      </w:r>
      <w:r>
        <w:rPr>
          <w:rFonts w:hint="eastAsia" w:ascii="宋体" w:hAnsi="宋体" w:eastAsia="宋体" w:cs="宋体"/>
          <w:color w:val="auto"/>
          <w:sz w:val="28"/>
          <w:szCs w:val="28"/>
          <w:highlight w:val="none"/>
          <w:lang w:eastAsia="zh-CN"/>
        </w:rPr>
        <w:t>甲方指定厂区</w:t>
      </w:r>
      <w:r>
        <w:rPr>
          <w:rFonts w:hint="eastAsia" w:ascii="宋体" w:hAnsi="宋体" w:eastAsia="宋体" w:cs="宋体"/>
          <w:color w:val="auto"/>
          <w:sz w:val="28"/>
          <w:szCs w:val="28"/>
          <w:highlight w:val="none"/>
        </w:rPr>
        <w:t>装货,杜绝拒单现象。每延误一次装货，对乙方</w:t>
      </w:r>
      <w:r>
        <w:rPr>
          <w:rFonts w:hint="eastAsia" w:ascii="宋体" w:hAnsi="宋体" w:eastAsia="宋体" w:cs="宋体"/>
          <w:color w:val="auto"/>
          <w:sz w:val="28"/>
          <w:szCs w:val="28"/>
          <w:highlight w:val="none"/>
          <w:lang w:val="en-US" w:eastAsia="zh-CN"/>
        </w:rPr>
        <w:t>罚款</w:t>
      </w:r>
      <w:r>
        <w:rPr>
          <w:rFonts w:hint="eastAsia" w:ascii="宋体" w:hAnsi="宋体" w:eastAsia="宋体" w:cs="宋体"/>
          <w:color w:val="auto"/>
          <w:sz w:val="28"/>
          <w:szCs w:val="28"/>
          <w:highlight w:val="none"/>
        </w:rPr>
        <w:t>2000元,同时甲方有权自行调派车辆装运,所发生的额外费用由乙方承担。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4、乙方在装车前应对所装货物的品种、数量等进行认真确认。</w:t>
      </w:r>
      <w:r>
        <w:rPr>
          <w:rFonts w:hint="eastAsia" w:ascii="宋体" w:hAnsi="宋体" w:eastAsia="宋体" w:cs="宋体"/>
          <w:color w:val="auto"/>
          <w:sz w:val="28"/>
          <w:szCs w:val="28"/>
          <w:highlight w:val="none"/>
          <w:lang w:eastAsia="zh-CN"/>
        </w:rPr>
        <w:t>并取得货物出厂检验报告。</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5、货物从装车后直到货物交付甲方</w:t>
      </w:r>
      <w:r>
        <w:rPr>
          <w:rFonts w:hint="eastAsia" w:ascii="宋体" w:hAnsi="宋体" w:eastAsia="宋体" w:cs="宋体"/>
          <w:color w:val="auto"/>
          <w:sz w:val="28"/>
          <w:szCs w:val="28"/>
          <w:highlight w:val="none"/>
          <w:lang w:eastAsia="zh-CN"/>
        </w:rPr>
        <w:t>料仓</w:t>
      </w:r>
      <w:r>
        <w:rPr>
          <w:rFonts w:hint="eastAsia" w:ascii="宋体" w:hAnsi="宋体" w:eastAsia="宋体" w:cs="宋体"/>
          <w:color w:val="auto"/>
          <w:sz w:val="28"/>
          <w:szCs w:val="28"/>
          <w:highlight w:val="none"/>
        </w:rPr>
        <w:t>前,乙方承担货物的安全保管及承运责任,发生的损毁、丢失、残损、交货不清、短缺等由此导致的损失均由乙方负责赔偿。乙方在合同期内不得因外部因素(人力、燃油、交通交警等)影响改变合同价格。</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6、乙方必须严格按照</w:t>
      </w:r>
      <w:r>
        <w:rPr>
          <w:rFonts w:hint="eastAsia" w:ascii="宋体" w:hAnsi="宋体" w:eastAsia="宋体" w:cs="宋体"/>
          <w:color w:val="auto"/>
          <w:sz w:val="28"/>
          <w:szCs w:val="28"/>
          <w:highlight w:val="none"/>
          <w:lang w:eastAsia="zh-CN"/>
        </w:rPr>
        <w:t>甲方指定提货厂区的管理规章制度完成提货流程</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因乙方原因导致的任何损失由乙方</w:t>
      </w:r>
      <w:r>
        <w:rPr>
          <w:rFonts w:hint="eastAsia" w:ascii="宋体" w:hAnsi="宋体" w:eastAsia="宋体" w:cs="宋体"/>
          <w:color w:val="auto"/>
          <w:sz w:val="28"/>
          <w:szCs w:val="28"/>
          <w:highlight w:val="none"/>
        </w:rPr>
        <w:t>负责赔偿。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7、乙方必须严格按照</w:t>
      </w:r>
      <w:r>
        <w:rPr>
          <w:rFonts w:hint="eastAsia" w:ascii="宋体" w:hAnsi="宋体" w:eastAsia="宋体" w:cs="宋体"/>
          <w:color w:val="auto"/>
          <w:sz w:val="28"/>
          <w:szCs w:val="28"/>
          <w:highlight w:val="none"/>
          <w:lang w:eastAsia="zh-CN"/>
        </w:rPr>
        <w:t>甲方厂区的管理规章制度完成卸货流程</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因乙方原因导致的任何损失由乙方</w:t>
      </w:r>
      <w:r>
        <w:rPr>
          <w:rFonts w:hint="eastAsia" w:ascii="宋体" w:hAnsi="宋体" w:eastAsia="宋体" w:cs="宋体"/>
          <w:color w:val="auto"/>
          <w:sz w:val="28"/>
          <w:szCs w:val="28"/>
          <w:highlight w:val="none"/>
        </w:rPr>
        <w:t>负责赔偿。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8、乙方所派遣司机必须严格遵守交通法规及有关车辆行驶规章制度,乙方承担合同期车辆、人员交通安全责任。因运输和卸货发生意外,其损害后果、法律责任和经济损失均由乙方承担。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9、乙方在合同期内,必须服从甲方管理、工作安排</w:t>
      </w:r>
      <w:r>
        <w:rPr>
          <w:rFonts w:hint="eastAsia" w:ascii="宋体" w:hAnsi="宋体" w:cs="宋体"/>
          <w:color w:val="auto"/>
          <w:sz w:val="28"/>
          <w:szCs w:val="28"/>
          <w:highlight w:val="none"/>
          <w:lang w:val="en-US" w:eastAsia="zh-CN"/>
        </w:rPr>
        <w:t>,按照规定佩戴劳保用品，劳保用品由乙方负责发放</w:t>
      </w:r>
      <w:r>
        <w:rPr>
          <w:rFonts w:hint="eastAsia" w:ascii="宋体" w:hAnsi="宋体" w:eastAsia="宋体" w:cs="宋体"/>
          <w:color w:val="auto"/>
          <w:sz w:val="28"/>
          <w:szCs w:val="28"/>
          <w:highlight w:val="none"/>
        </w:rPr>
        <w:t>。发生打架、争吵或受到客户投诉等有损企业形象的事件,依据甲方管理规定给予处罚。</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10、</w:t>
      </w:r>
      <w:r>
        <w:rPr>
          <w:rFonts w:hint="eastAsia" w:ascii="宋体" w:hAnsi="宋体" w:eastAsia="宋体" w:cs="宋体"/>
          <w:color w:val="auto"/>
          <w:sz w:val="28"/>
          <w:szCs w:val="28"/>
          <w:highlight w:val="none"/>
        </w:rPr>
        <w:t>乙方在装卸粉料时，</w:t>
      </w:r>
      <w:r>
        <w:rPr>
          <w:rFonts w:hint="eastAsia" w:ascii="宋体" w:hAnsi="宋体" w:eastAsia="宋体" w:cs="宋体"/>
          <w:color w:val="auto"/>
          <w:sz w:val="28"/>
          <w:szCs w:val="28"/>
          <w:highlight w:val="none"/>
          <w:lang w:val="en-US" w:eastAsia="zh-CN"/>
        </w:rPr>
        <w:t>应</w:t>
      </w:r>
      <w:r>
        <w:rPr>
          <w:rFonts w:hint="eastAsia" w:ascii="宋体" w:hAnsi="宋体" w:eastAsia="宋体" w:cs="宋体"/>
          <w:color w:val="auto"/>
          <w:sz w:val="28"/>
          <w:szCs w:val="28"/>
          <w:highlight w:val="none"/>
        </w:rPr>
        <w:t>严格遵守操作规程，防止粉尘污染，确保符合国家环保标准</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由乙方操作不当造成货物损毁或环境污染，乙方应全额赔偿</w:t>
      </w:r>
      <w:r>
        <w:rPr>
          <w:rFonts w:hint="eastAsia" w:ascii="宋体" w:hAnsi="宋体" w:eastAsia="宋体" w:cs="宋体"/>
          <w:color w:val="auto"/>
          <w:sz w:val="28"/>
          <w:szCs w:val="28"/>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11、</w:t>
      </w:r>
      <w:r>
        <w:rPr>
          <w:rFonts w:hint="eastAsia" w:ascii="宋体" w:hAnsi="宋体" w:eastAsia="宋体" w:cs="宋体"/>
          <w:color w:val="auto"/>
          <w:sz w:val="28"/>
          <w:szCs w:val="28"/>
          <w:highlight w:val="none"/>
        </w:rPr>
        <w:t>乙方需安排专人与</w:t>
      </w:r>
      <w:r>
        <w:rPr>
          <w:rFonts w:hint="eastAsia" w:ascii="宋体" w:hAnsi="宋体" w:eastAsia="宋体" w:cs="宋体"/>
          <w:color w:val="auto"/>
          <w:sz w:val="28"/>
          <w:szCs w:val="28"/>
          <w:highlight w:val="none"/>
          <w:lang w:val="en-US" w:eastAsia="zh-CN"/>
        </w:rPr>
        <w:t>甲方物资部门</w:t>
      </w:r>
      <w:r>
        <w:rPr>
          <w:rFonts w:hint="eastAsia" w:ascii="宋体" w:hAnsi="宋体" w:eastAsia="宋体" w:cs="宋体"/>
          <w:color w:val="auto"/>
          <w:sz w:val="28"/>
          <w:szCs w:val="28"/>
          <w:highlight w:val="none"/>
        </w:rPr>
        <w:t>对接派车事宜。</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12、乙方车辆进入甲方厂区及周边区域内，受甲方管理规定约束。乙方车辆进入提货厂区及周边区域内，受提货终点所在单位管理规定约束。发生违规情况，按相关规定予以处罚。乙方对相关规定不熟悉不可作为免于处罚的理由。</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sz w:val="28"/>
          <w:szCs w:val="28"/>
          <w:lang w:val="en-US" w:eastAsia="zh-CN"/>
        </w:rPr>
        <w:t>13、乙方必须使用自有车辆运输胶凝材料，车辆必须在甲方备案。如需使用第三方车辆，须经甲方同意。</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w:t>
      </w:r>
      <w:r>
        <w:rPr>
          <w:rFonts w:hint="eastAsia" w:ascii="宋体" w:hAnsi="宋体" w:cs="宋体"/>
          <w:color w:val="auto"/>
          <w:sz w:val="28"/>
          <w:szCs w:val="28"/>
          <w:highlight w:val="none"/>
          <w:lang w:val="en-US" w:eastAsia="zh-CN"/>
        </w:rPr>
        <w:t>4</w:t>
      </w:r>
      <w:r>
        <w:rPr>
          <w:rFonts w:hint="eastAsia" w:ascii="宋体" w:hAnsi="宋体" w:eastAsia="宋体" w:cs="宋体"/>
          <w:color w:val="auto"/>
          <w:sz w:val="28"/>
          <w:szCs w:val="28"/>
          <w:highlight w:val="none"/>
          <w:lang w:val="en-US" w:eastAsia="zh-CN"/>
        </w:rPr>
        <w:t>、乙方应按时足额支付乙方职工及业务单位等第三方关联人员的工资、费用等，由此引起的账务纠纷与甲方无关。</w:t>
      </w:r>
    </w:p>
    <w:p>
      <w:pPr>
        <w:keepNext w:val="0"/>
        <w:keepLines w:val="0"/>
        <w:pageBreakBefore w:val="0"/>
        <w:widowControl w:val="0"/>
        <w:numPr>
          <w:ilvl w:val="0"/>
          <w:numId w:val="17"/>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履约保证金</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1、为保证合同的严格履行,在本合同签定后7天内,乙方向甲方缴纳履约风险保证金人民币壹拾万元整</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¥100000.00</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可从运输费用中抵扣。</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2、履约风险保证金在合同终止且双方结算完毕后无息返还。</w:t>
      </w:r>
    </w:p>
    <w:p>
      <w:pPr>
        <w:keepNext w:val="0"/>
        <w:keepLines w:val="0"/>
        <w:pageBreakBefore w:val="0"/>
        <w:widowControl w:val="0"/>
        <w:numPr>
          <w:ilvl w:val="0"/>
          <w:numId w:val="17"/>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违约责任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1、乙方提供的服务未达到合同约定服务标准的,甲方有权暂停乙方运输资格或立即终止合同。</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2、甲、乙双方任何一方如违反本合同约定,对方均有权解除合同,造成对方经济损失的，由违约方负责赔偿。</w:t>
      </w:r>
    </w:p>
    <w:p>
      <w:pPr>
        <w:rPr>
          <w:rFonts w:hint="eastAsia"/>
          <w:color w:val="auto"/>
          <w:highlight w:val="none"/>
          <w:lang w:val="en-US" w:eastAsia="zh-CN"/>
        </w:rPr>
      </w:pP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highlight w:val="none"/>
          <w:lang w:val="en-US" w:eastAsia="zh-CN"/>
        </w:rPr>
      </w:pPr>
    </w:p>
    <w:p>
      <w:pPr>
        <w:rPr>
          <w:rFonts w:hint="eastAsia" w:ascii="Arial" w:hAnsi="Arial" w:eastAsia="宋体" w:cs="宋体"/>
          <w:b/>
          <w:bCs/>
          <w:color w:val="auto"/>
          <w:kern w:val="2"/>
          <w:sz w:val="44"/>
          <w:szCs w:val="44"/>
          <w:highlight w:val="none"/>
          <w:lang w:val="en-US" w:eastAsia="zh-CN"/>
        </w:rPr>
      </w:pPr>
    </w:p>
    <w:p>
      <w:pPr>
        <w:rPr>
          <w:rFonts w:hint="eastAsia" w:ascii="Arial" w:hAnsi="Arial" w:eastAsia="宋体" w:cs="宋体"/>
          <w:b/>
          <w:bCs/>
          <w:color w:val="auto"/>
          <w:kern w:val="2"/>
          <w:sz w:val="44"/>
          <w:szCs w:val="44"/>
          <w:highlight w:val="none"/>
          <w:lang w:val="en-US" w:eastAsia="zh-CN"/>
        </w:rPr>
      </w:pPr>
    </w:p>
    <w:p>
      <w:pPr>
        <w:rPr>
          <w:rFonts w:hint="eastAsia" w:ascii="Arial" w:hAnsi="Arial" w:eastAsia="宋体" w:cs="宋体"/>
          <w:b/>
          <w:bCs/>
          <w:color w:val="auto"/>
          <w:kern w:val="2"/>
          <w:sz w:val="44"/>
          <w:szCs w:val="44"/>
          <w:highlight w:val="none"/>
          <w:lang w:val="en-US" w:eastAsia="zh-CN"/>
        </w:rPr>
      </w:pPr>
    </w:p>
    <w:p>
      <w:pPr>
        <w:rPr>
          <w:rFonts w:hint="eastAsia" w:ascii="Arial" w:hAnsi="Arial" w:eastAsia="宋体" w:cs="宋体"/>
          <w:b/>
          <w:bCs/>
          <w:color w:val="auto"/>
          <w:kern w:val="2"/>
          <w:sz w:val="44"/>
          <w:szCs w:val="44"/>
          <w:highlight w:val="none"/>
          <w:lang w:val="en-US" w:eastAsia="zh-CN"/>
        </w:rPr>
      </w:pPr>
    </w:p>
    <w:p>
      <w:pPr>
        <w:rPr>
          <w:rFonts w:hint="eastAsia" w:ascii="Arial" w:hAnsi="Arial" w:eastAsia="宋体" w:cs="宋体"/>
          <w:b/>
          <w:bCs/>
          <w:color w:val="auto"/>
          <w:kern w:val="2"/>
          <w:sz w:val="44"/>
          <w:szCs w:val="44"/>
          <w:highlight w:val="none"/>
          <w:lang w:val="en-US" w:eastAsia="zh-CN"/>
        </w:rPr>
      </w:pPr>
    </w:p>
    <w:p>
      <w:pPr>
        <w:rPr>
          <w:rFonts w:hint="eastAsia" w:ascii="Arial" w:hAnsi="Arial" w:eastAsia="宋体" w:cs="宋体"/>
          <w:b/>
          <w:bCs/>
          <w:color w:val="auto"/>
          <w:kern w:val="2"/>
          <w:sz w:val="44"/>
          <w:szCs w:val="44"/>
          <w:highlight w:val="none"/>
          <w:lang w:val="en-US" w:eastAsia="zh-CN"/>
        </w:rPr>
      </w:pPr>
    </w:p>
    <w:p>
      <w:pPr>
        <w:rPr>
          <w:rFonts w:hint="eastAsia" w:ascii="Arial" w:hAnsi="Arial" w:eastAsia="宋体" w:cs="宋体"/>
          <w:b/>
          <w:bCs/>
          <w:color w:val="auto"/>
          <w:kern w:val="2"/>
          <w:sz w:val="44"/>
          <w:szCs w:val="44"/>
          <w:highlight w:val="none"/>
          <w:lang w:val="en-US" w:eastAsia="zh-CN"/>
        </w:rPr>
      </w:pPr>
    </w:p>
    <w:p>
      <w:pPr>
        <w:rPr>
          <w:rFonts w:hint="eastAsia" w:ascii="Arial" w:hAnsi="Arial" w:eastAsia="宋体" w:cs="宋体"/>
          <w:b/>
          <w:bCs/>
          <w:color w:val="auto"/>
          <w:kern w:val="2"/>
          <w:sz w:val="44"/>
          <w:szCs w:val="44"/>
          <w:highlight w:val="none"/>
          <w:lang w:val="en-US" w:eastAsia="zh-CN"/>
        </w:rPr>
      </w:pPr>
    </w:p>
    <w:p>
      <w:pPr>
        <w:rPr>
          <w:rFonts w:hint="eastAsia" w:ascii="Arial" w:hAnsi="Arial" w:eastAsia="宋体" w:cs="宋体"/>
          <w:b/>
          <w:bCs/>
          <w:color w:val="auto"/>
          <w:kern w:val="2"/>
          <w:sz w:val="44"/>
          <w:szCs w:val="44"/>
          <w:highlight w:val="none"/>
          <w:lang w:val="en-US" w:eastAsia="zh-CN"/>
        </w:rPr>
      </w:pPr>
    </w:p>
    <w:p>
      <w:pPr>
        <w:rPr>
          <w:rFonts w:hint="eastAsia" w:ascii="Arial" w:hAnsi="Arial" w:eastAsia="宋体" w:cs="宋体"/>
          <w:b/>
          <w:bCs/>
          <w:color w:val="auto"/>
          <w:kern w:val="2"/>
          <w:sz w:val="44"/>
          <w:szCs w:val="44"/>
          <w:highlight w:val="none"/>
          <w:lang w:val="en-US" w:eastAsia="zh-CN"/>
        </w:rPr>
      </w:pPr>
    </w:p>
    <w:p>
      <w:pPr>
        <w:rPr>
          <w:rFonts w:hint="eastAsia" w:ascii="Arial" w:hAnsi="Arial" w:eastAsia="宋体" w:cs="宋体"/>
          <w:b/>
          <w:bCs/>
          <w:color w:val="auto"/>
          <w:kern w:val="2"/>
          <w:sz w:val="44"/>
          <w:szCs w:val="44"/>
          <w:highlight w:val="none"/>
          <w:lang w:val="en-US" w:eastAsia="zh-CN"/>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highlight w:val="none"/>
          <w:lang w:val="en-US" w:eastAsia="zh-CN"/>
        </w:rPr>
      </w:pPr>
      <w:r>
        <w:rPr>
          <w:rFonts w:hint="eastAsia" w:ascii="Arial" w:hAnsi="Arial" w:eastAsia="宋体" w:cs="宋体"/>
          <w:b/>
          <w:bCs/>
          <w:color w:val="auto"/>
          <w:kern w:val="2"/>
          <w:sz w:val="44"/>
          <w:szCs w:val="44"/>
          <w:highlight w:val="none"/>
          <w:lang w:val="en-US" w:eastAsia="zh-CN"/>
        </w:rPr>
        <w:t xml:space="preserve"> 附件</w:t>
      </w:r>
    </w:p>
    <w:p>
      <w:pPr>
        <w:pStyle w:val="3"/>
        <w:pageBreakBefore w:val="0"/>
        <w:numPr>
          <w:ilvl w:val="0"/>
          <w:numId w:val="19"/>
        </w:numPr>
        <w:kinsoku/>
        <w:wordWrap/>
        <w:overflowPunct/>
        <w:topLinePunct w:val="0"/>
        <w:bidi w:val="0"/>
        <w:adjustRightInd/>
        <w:spacing w:line="52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投 标 函（格式）</w:t>
      </w:r>
    </w:p>
    <w:p>
      <w:pPr>
        <w:numPr>
          <w:ilvl w:val="0"/>
          <w:numId w:val="0"/>
        </w:numPr>
        <w:rPr>
          <w:rFonts w:hint="eastAsia"/>
          <w:color w:val="auto"/>
          <w:highlight w:val="none"/>
        </w:rPr>
      </w:pP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致：</w:t>
      </w:r>
      <w:r>
        <w:rPr>
          <w:rFonts w:hint="eastAsia" w:ascii="宋体" w:hAnsi="宋体" w:eastAsia="宋体" w:cs="宋体"/>
          <w:color w:val="auto"/>
          <w:kern w:val="0"/>
          <w:sz w:val="28"/>
          <w:szCs w:val="28"/>
          <w:highlight w:val="none"/>
          <w:u w:val="single"/>
          <w:lang w:val="en-US" w:eastAsia="zh-CN"/>
        </w:rPr>
        <w:t>铜陵铜冠建安新型环保建材科技</w:t>
      </w:r>
      <w:r>
        <w:rPr>
          <w:rFonts w:hint="eastAsia" w:ascii="宋体" w:hAnsi="宋体" w:eastAsia="宋体" w:cs="宋体"/>
          <w:color w:val="auto"/>
          <w:kern w:val="0"/>
          <w:sz w:val="28"/>
          <w:szCs w:val="28"/>
          <w:highlight w:val="none"/>
          <w:u w:val="single"/>
        </w:rPr>
        <w:t>有限公司</w:t>
      </w:r>
    </w:p>
    <w:p>
      <w:pPr>
        <w:pageBreakBefore w:val="0"/>
        <w:kinsoku/>
        <w:wordWrap/>
        <w:overflowPunct/>
        <w:topLinePunct w:val="0"/>
        <w:autoSpaceDE w:val="0"/>
        <w:autoSpaceDN w:val="0"/>
        <w:bidi w:val="0"/>
        <w:adjustRightInd/>
        <w:snapToGrid w:val="0"/>
        <w:spacing w:line="520" w:lineRule="exact"/>
        <w:ind w:left="279" w:leftChars="133" w:firstLine="400" w:firstLineChars="143"/>
        <w:jc w:val="left"/>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根据贵方</w:t>
      </w:r>
      <w:r>
        <w:rPr>
          <w:rFonts w:hint="eastAsia" w:ascii="宋体" w:hAnsi="宋体" w:eastAsia="宋体" w:cs="宋体"/>
          <w:color w:val="auto"/>
          <w:kern w:val="0"/>
          <w:sz w:val="28"/>
          <w:szCs w:val="28"/>
          <w:highlight w:val="none"/>
          <w:u w:val="single"/>
          <w:lang w:val="en-US" w:eastAsia="zh-CN"/>
        </w:rPr>
        <w:t xml:space="preserve"> 2021年度</w:t>
      </w:r>
      <w:r>
        <w:rPr>
          <w:rFonts w:hint="eastAsia" w:ascii="宋体" w:hAnsi="宋体" w:eastAsia="宋体" w:cs="宋体"/>
          <w:color w:val="auto"/>
          <w:sz w:val="28"/>
          <w:szCs w:val="28"/>
          <w:highlight w:val="none"/>
          <w:u w:val="single"/>
          <w:lang w:val="en-US" w:eastAsia="zh-CN"/>
        </w:rPr>
        <w:t xml:space="preserve">原料运输业务 </w:t>
      </w:r>
      <w:r>
        <w:rPr>
          <w:rFonts w:hint="eastAsia" w:ascii="宋体" w:hAnsi="宋体" w:eastAsia="宋体" w:cs="宋体"/>
          <w:color w:val="auto"/>
          <w:kern w:val="0"/>
          <w:sz w:val="28"/>
          <w:szCs w:val="28"/>
          <w:highlight w:val="none"/>
        </w:rPr>
        <w:t>招标文件，正式授权的</w:t>
      </w:r>
      <w:r>
        <w:rPr>
          <w:rFonts w:hint="eastAsia" w:ascii="宋体" w:hAnsi="宋体" w:eastAsia="宋体" w:cs="宋体"/>
          <w:color w:val="auto"/>
          <w:kern w:val="0"/>
          <w:sz w:val="28"/>
          <w:szCs w:val="28"/>
          <w:highlight w:val="none"/>
          <w:lang w:val="en-US" w:eastAsia="zh-CN"/>
        </w:rPr>
        <w:t xml:space="preserve">            </w:t>
      </w:r>
      <w:r>
        <w:rPr>
          <w:rFonts w:hint="eastAsia" w:ascii="宋体" w:hAnsi="宋体" w:eastAsia="宋体" w:cs="宋体"/>
          <w:color w:val="auto"/>
          <w:kern w:val="0"/>
          <w:sz w:val="28"/>
          <w:szCs w:val="28"/>
          <w:highlight w:val="none"/>
        </w:rPr>
        <w:t>下述签字人</w:t>
      </w:r>
      <w:r>
        <w:rPr>
          <w:rFonts w:hint="eastAsia" w:ascii="宋体" w:hAnsi="宋体" w:eastAsia="宋体" w:cs="宋体"/>
          <w:color w:val="auto"/>
          <w:kern w:val="0"/>
          <w:sz w:val="28"/>
          <w:szCs w:val="28"/>
          <w:highlight w:val="none"/>
          <w:u w:val="single"/>
        </w:rPr>
        <w:t xml:space="preserve">    </w:t>
      </w:r>
      <w:r>
        <w:rPr>
          <w:rFonts w:hint="eastAsia" w:ascii="宋体" w:hAnsi="宋体" w:eastAsia="宋体" w:cs="宋体"/>
          <w:color w:val="auto"/>
          <w:kern w:val="0"/>
          <w:sz w:val="28"/>
          <w:szCs w:val="28"/>
          <w:highlight w:val="none"/>
          <w:u w:val="single"/>
          <w:lang w:val="en-US" w:eastAsia="zh-CN"/>
        </w:rPr>
        <w:t xml:space="preserve"> </w:t>
      </w:r>
      <w:r>
        <w:rPr>
          <w:rFonts w:hint="eastAsia" w:ascii="宋体" w:hAnsi="宋体" w:eastAsia="宋体" w:cs="宋体"/>
          <w:color w:val="auto"/>
          <w:kern w:val="0"/>
          <w:sz w:val="28"/>
          <w:szCs w:val="28"/>
          <w:highlight w:val="none"/>
          <w:u w:val="single"/>
        </w:rPr>
        <w:t xml:space="preserve">   </w:t>
      </w:r>
      <w:r>
        <w:rPr>
          <w:rFonts w:hint="eastAsia" w:ascii="宋体" w:hAnsi="宋体" w:eastAsia="宋体" w:cs="宋体"/>
          <w:color w:val="auto"/>
          <w:kern w:val="0"/>
          <w:sz w:val="28"/>
          <w:szCs w:val="28"/>
          <w:highlight w:val="none"/>
        </w:rPr>
        <w:t>(姓名和职务)代表投标人</w:t>
      </w:r>
      <w:r>
        <w:rPr>
          <w:rFonts w:hint="eastAsia" w:ascii="宋体" w:hAnsi="宋体" w:eastAsia="宋体" w:cs="宋体"/>
          <w:color w:val="auto"/>
          <w:kern w:val="0"/>
          <w:sz w:val="28"/>
          <w:szCs w:val="28"/>
          <w:highlight w:val="none"/>
          <w:u w:val="single"/>
        </w:rPr>
        <w:t xml:space="preserve">    </w:t>
      </w:r>
      <w:r>
        <w:rPr>
          <w:rFonts w:hint="eastAsia" w:ascii="宋体" w:hAnsi="宋体" w:eastAsia="宋体" w:cs="宋体"/>
          <w:color w:val="auto"/>
          <w:kern w:val="0"/>
          <w:sz w:val="28"/>
          <w:szCs w:val="28"/>
          <w:highlight w:val="none"/>
          <w:u w:val="single"/>
          <w:lang w:val="en-US" w:eastAsia="zh-CN"/>
        </w:rPr>
        <w:t xml:space="preserve">                  </w:t>
      </w:r>
      <w:r>
        <w:rPr>
          <w:rFonts w:hint="eastAsia" w:ascii="宋体" w:hAnsi="宋体" w:eastAsia="宋体" w:cs="宋体"/>
          <w:color w:val="auto"/>
          <w:kern w:val="0"/>
          <w:sz w:val="28"/>
          <w:szCs w:val="28"/>
          <w:highlight w:val="none"/>
          <w:u w:val="single"/>
        </w:rPr>
        <w:t xml:space="preserve">      </w:t>
      </w:r>
      <w:r>
        <w:rPr>
          <w:rFonts w:hint="eastAsia" w:ascii="宋体" w:hAnsi="宋体" w:eastAsia="宋体" w:cs="宋体"/>
          <w:color w:val="auto"/>
          <w:kern w:val="0"/>
          <w:sz w:val="28"/>
          <w:szCs w:val="28"/>
          <w:highlight w:val="none"/>
        </w:rPr>
        <w:t>(投标人的名称)，按照招标文件要求提交的全部投标文件1份。</w:t>
      </w:r>
    </w:p>
    <w:p>
      <w:pPr>
        <w:pageBreakBefore w:val="0"/>
        <w:kinsoku/>
        <w:wordWrap/>
        <w:overflowPunct/>
        <w:topLinePunct w:val="0"/>
        <w:autoSpaceDE w:val="0"/>
        <w:autoSpaceDN w:val="0"/>
        <w:bidi w:val="0"/>
        <w:adjustRightInd/>
        <w:snapToGrid w:val="0"/>
        <w:spacing w:line="520" w:lineRule="exact"/>
        <w:ind w:firstLine="512"/>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据此函，签字人兹宣布同意如下：</w:t>
      </w:r>
    </w:p>
    <w:p>
      <w:pPr>
        <w:pageBreakBefore w:val="0"/>
        <w:numPr>
          <w:ilvl w:val="0"/>
          <w:numId w:val="20"/>
        </w:numPr>
        <w:kinsoku/>
        <w:wordWrap/>
        <w:overflowPunct/>
        <w:topLinePunct w:val="0"/>
        <w:autoSpaceDE w:val="0"/>
        <w:autoSpaceDN w:val="0"/>
        <w:bidi w:val="0"/>
        <w:adjustRightInd/>
        <w:snapToGrid w:val="0"/>
        <w:spacing w:line="520" w:lineRule="exact"/>
        <w:ind w:firstLine="280" w:firstLineChars="100"/>
        <w:jc w:val="left"/>
        <w:textAlignment w:val="auto"/>
        <w:rPr>
          <w:rFonts w:hint="eastAsia" w:ascii="宋体" w:hAnsi="宋体" w:eastAsia="宋体" w:cs="宋体"/>
          <w:color w:val="auto"/>
          <w:kern w:val="0"/>
          <w:sz w:val="28"/>
          <w:szCs w:val="28"/>
          <w:highlight w:val="none"/>
          <w:lang w:val="en-US" w:eastAsia="zh-CN"/>
        </w:rPr>
      </w:pPr>
      <w:r>
        <w:rPr>
          <w:rFonts w:hint="eastAsia" w:ascii="宋体" w:hAnsi="宋体" w:eastAsia="宋体" w:cs="宋体"/>
          <w:color w:val="auto"/>
          <w:kern w:val="0"/>
          <w:sz w:val="28"/>
          <w:szCs w:val="28"/>
          <w:highlight w:val="none"/>
        </w:rPr>
        <w:t>按招标文件规定提供</w:t>
      </w:r>
      <w:r>
        <w:rPr>
          <w:rFonts w:hint="eastAsia" w:ascii="宋体" w:hAnsi="宋体" w:eastAsia="宋体" w:cs="宋体"/>
          <w:color w:val="auto"/>
          <w:kern w:val="0"/>
          <w:sz w:val="28"/>
          <w:szCs w:val="28"/>
          <w:highlight w:val="none"/>
          <w:lang w:val="en-US" w:eastAsia="zh-CN"/>
        </w:rPr>
        <w:t>本次招标内容</w:t>
      </w:r>
      <w:r>
        <w:rPr>
          <w:rFonts w:hint="eastAsia" w:ascii="宋体" w:hAnsi="宋体" w:eastAsia="宋体" w:cs="宋体"/>
          <w:color w:val="auto"/>
          <w:kern w:val="0"/>
          <w:sz w:val="28"/>
          <w:szCs w:val="28"/>
          <w:highlight w:val="none"/>
        </w:rPr>
        <w:t>的投标</w:t>
      </w:r>
      <w:r>
        <w:rPr>
          <w:rFonts w:hint="eastAsia" w:ascii="宋体" w:hAnsi="宋体" w:eastAsia="宋体" w:cs="宋体"/>
          <w:color w:val="auto"/>
          <w:kern w:val="0"/>
          <w:sz w:val="28"/>
          <w:szCs w:val="28"/>
          <w:highlight w:val="none"/>
          <w:lang w:val="en-US" w:eastAsia="zh-CN"/>
        </w:rPr>
        <w:t>报</w:t>
      </w:r>
      <w:r>
        <w:rPr>
          <w:rFonts w:hint="eastAsia" w:ascii="宋体" w:hAnsi="宋体" w:eastAsia="宋体" w:cs="宋体"/>
          <w:color w:val="auto"/>
          <w:kern w:val="0"/>
          <w:sz w:val="28"/>
          <w:szCs w:val="28"/>
          <w:highlight w:val="none"/>
        </w:rPr>
        <w:t>价（含增值税）</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lang w:val="en-US" w:eastAsia="zh-CN"/>
        </w:rPr>
        <w:t>详见《投标报价表》。</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lang w:val="en-US" w:eastAsia="zh-CN"/>
        </w:rPr>
        <w:t>2</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rPr>
        <w:t>我们承担根据招标文件的规定履行合同的责任和义务。</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lang w:val="en-US" w:eastAsia="zh-CN"/>
        </w:rPr>
        <w:t>3</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rPr>
        <w:t>我们已详细审核全部招标文件，包括招标文件修改书(如果有的话)，参考资料及有关附件，我们完全理解并同意放弃对这方面有不明或误解的权利。</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lang w:val="en-US" w:eastAsia="zh-CN"/>
        </w:rPr>
        <w:t>4</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rPr>
        <w:t>本投标有效期为开标日起</w:t>
      </w:r>
      <w:r>
        <w:rPr>
          <w:rFonts w:hint="eastAsia" w:ascii="宋体" w:hAnsi="宋体" w:eastAsia="宋体" w:cs="宋体"/>
          <w:color w:val="auto"/>
          <w:kern w:val="0"/>
          <w:sz w:val="28"/>
          <w:szCs w:val="28"/>
          <w:highlight w:val="none"/>
          <w:u w:val="single"/>
        </w:rPr>
        <w:t xml:space="preserve"> 30 </w:t>
      </w:r>
      <w:r>
        <w:rPr>
          <w:rFonts w:hint="eastAsia" w:ascii="宋体" w:hAnsi="宋体" w:eastAsia="宋体" w:cs="宋体"/>
          <w:color w:val="auto"/>
          <w:kern w:val="0"/>
          <w:sz w:val="28"/>
          <w:szCs w:val="28"/>
          <w:highlight w:val="none"/>
        </w:rPr>
        <w:t>天。</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lang w:val="en-US" w:eastAsia="zh-CN"/>
        </w:rPr>
        <w:t>5</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rPr>
        <w:t>同意向贵方提供贵方可能要求的与本投标有关任何证据或资料。我们完全理解贵方不一定要接受最低报价的投标或收到的任何投标。</w:t>
      </w:r>
    </w:p>
    <w:p>
      <w:pPr>
        <w:pStyle w:val="13"/>
        <w:pageBreakBefore w:val="0"/>
        <w:kinsoku/>
        <w:wordWrap/>
        <w:overflowPunct/>
        <w:topLinePunct w:val="0"/>
        <w:bidi w:val="0"/>
        <w:adjustRightInd/>
        <w:snapToGrid w:val="0"/>
        <w:spacing w:after="0" w:line="520" w:lineRule="exact"/>
        <w:ind w:left="0" w:leftChars="0" w:firstLine="280" w:firstLineChars="10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lang w:val="en-US" w:eastAsia="zh-CN"/>
        </w:rPr>
        <w:t>6</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rPr>
        <w:t>除非另外达成协议并生效，你方的中标通知书和本投标文件将成为约束双方的合同文件的组成部分。</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highlight w:val="none"/>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投标人</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法人代表或</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 xml:space="preserve">委托代理人：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 xml:space="preserve">日期：         年      月      日 </w:t>
      </w:r>
      <w:bookmarkStart w:id="15" w:name="_Toc184099450"/>
      <w:bookmarkStart w:id="16" w:name="_Toc184099505"/>
      <w:bookmarkStart w:id="17" w:name="_Toc184111941"/>
      <w:bookmarkStart w:id="18" w:name="_Toc184112530"/>
      <w:bookmarkStart w:id="19" w:name="_Toc184111766"/>
      <w:bookmarkStart w:id="20" w:name="_Toc184112332"/>
      <w:bookmarkStart w:id="21" w:name="_Toc5627"/>
      <w:bookmarkStart w:id="22" w:name="_Toc581"/>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highlight w:val="none"/>
          <w:lang w:val="en-US" w:eastAsia="zh-CN"/>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highlight w:val="none"/>
          <w:lang w:val="en-US" w:eastAsia="zh-CN"/>
        </w:rPr>
      </w:pPr>
    </w:p>
    <w:p>
      <w:pPr>
        <w:pStyle w:val="4"/>
        <w:pageBreakBefore w:val="0"/>
        <w:numPr>
          <w:ilvl w:val="0"/>
          <w:numId w:val="19"/>
        </w:numPr>
        <w:kinsoku/>
        <w:wordWrap/>
        <w:overflowPunct/>
        <w:topLinePunct w:val="0"/>
        <w:bidi w:val="0"/>
        <w:adjustRightInd/>
        <w:spacing w:line="520" w:lineRule="exact"/>
        <w:ind w:left="0" w:leftChars="0" w:firstLine="0" w:firstLineChars="0"/>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授权委托书（格式</w:t>
      </w:r>
      <w:bookmarkEnd w:id="15"/>
      <w:bookmarkEnd w:id="16"/>
      <w:bookmarkEnd w:id="17"/>
      <w:bookmarkEnd w:id="18"/>
      <w:bookmarkEnd w:id="19"/>
      <w:bookmarkEnd w:id="20"/>
      <w:r>
        <w:rPr>
          <w:rFonts w:hint="eastAsia" w:ascii="宋体" w:hAnsi="宋体" w:eastAsia="宋体" w:cs="宋体"/>
          <w:color w:val="auto"/>
          <w:sz w:val="28"/>
          <w:szCs w:val="28"/>
          <w:highlight w:val="none"/>
          <w:lang w:val="en-US" w:eastAsia="zh-CN"/>
        </w:rPr>
        <w:t>）</w:t>
      </w:r>
      <w:bookmarkEnd w:id="21"/>
      <w:bookmarkEnd w:id="22"/>
    </w:p>
    <w:p>
      <w:pPr>
        <w:numPr>
          <w:ilvl w:val="0"/>
          <w:numId w:val="0"/>
        </w:numPr>
        <w:ind w:leftChars="0"/>
        <w:rPr>
          <w:rFonts w:hint="eastAsia"/>
          <w:color w:val="auto"/>
          <w:highlight w:val="none"/>
        </w:rPr>
      </w:pP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致：</w:t>
      </w:r>
      <w:r>
        <w:rPr>
          <w:rFonts w:hint="eastAsia" w:ascii="宋体" w:hAnsi="宋体" w:eastAsia="宋体" w:cs="宋体"/>
          <w:color w:val="auto"/>
          <w:kern w:val="0"/>
          <w:sz w:val="28"/>
          <w:szCs w:val="28"/>
          <w:highlight w:val="none"/>
          <w:u w:val="single"/>
          <w:lang w:val="en-US" w:eastAsia="zh-CN"/>
        </w:rPr>
        <w:t>铜陵铜冠建安新型环保建材科技</w:t>
      </w:r>
      <w:r>
        <w:rPr>
          <w:rFonts w:hint="eastAsia" w:ascii="宋体" w:hAnsi="宋体" w:eastAsia="宋体" w:cs="宋体"/>
          <w:color w:val="auto"/>
          <w:kern w:val="0"/>
          <w:sz w:val="28"/>
          <w:szCs w:val="28"/>
          <w:highlight w:val="none"/>
          <w:u w:val="single"/>
        </w:rPr>
        <w:t>有限公司</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我</w:t>
      </w:r>
      <w:r>
        <w:rPr>
          <w:rFonts w:hint="eastAsia" w:ascii="宋体" w:hAnsi="宋体" w:eastAsia="宋体" w:cs="宋体"/>
          <w:color w:val="auto"/>
          <w:kern w:val="0"/>
          <w:sz w:val="28"/>
          <w:szCs w:val="28"/>
          <w:highlight w:val="none"/>
          <w:u w:val="single"/>
        </w:rPr>
        <w:t xml:space="preserve">       </w:t>
      </w:r>
      <w:r>
        <w:rPr>
          <w:rFonts w:hint="eastAsia" w:ascii="宋体" w:hAnsi="宋体" w:eastAsia="宋体" w:cs="宋体"/>
          <w:color w:val="auto"/>
          <w:kern w:val="0"/>
          <w:sz w:val="28"/>
          <w:szCs w:val="28"/>
          <w:highlight w:val="none"/>
        </w:rPr>
        <w:t>（姓名）系</w:t>
      </w:r>
      <w:r>
        <w:rPr>
          <w:rFonts w:hint="eastAsia" w:ascii="宋体" w:hAnsi="宋体" w:eastAsia="宋体" w:cs="宋体"/>
          <w:color w:val="auto"/>
          <w:kern w:val="0"/>
          <w:sz w:val="28"/>
          <w:szCs w:val="28"/>
          <w:highlight w:val="none"/>
          <w:u w:val="single"/>
        </w:rPr>
        <w:t xml:space="preserve">                  </w:t>
      </w:r>
      <w:r>
        <w:rPr>
          <w:rFonts w:hint="eastAsia" w:ascii="宋体" w:hAnsi="宋体" w:eastAsia="宋体" w:cs="宋体"/>
          <w:color w:val="auto"/>
          <w:kern w:val="0"/>
          <w:sz w:val="28"/>
          <w:szCs w:val="28"/>
          <w:highlight w:val="none"/>
        </w:rPr>
        <w:t>（投标单位名称）的法定代表人，现授权委托</w:t>
      </w:r>
      <w:r>
        <w:rPr>
          <w:rFonts w:hint="eastAsia" w:ascii="宋体" w:hAnsi="宋体" w:eastAsia="宋体" w:cs="宋体"/>
          <w:color w:val="auto"/>
          <w:kern w:val="0"/>
          <w:sz w:val="28"/>
          <w:szCs w:val="28"/>
          <w:highlight w:val="none"/>
          <w:u w:val="single"/>
        </w:rPr>
        <w:t xml:space="preserve">          </w:t>
      </w:r>
      <w:r>
        <w:rPr>
          <w:rFonts w:hint="eastAsia" w:ascii="宋体" w:hAnsi="宋体" w:eastAsia="宋体" w:cs="宋体"/>
          <w:color w:val="auto"/>
          <w:kern w:val="0"/>
          <w:sz w:val="28"/>
          <w:szCs w:val="28"/>
          <w:highlight w:val="none"/>
        </w:rPr>
        <w:t>（姓名）为我的委托代理人，以本公司的名义参加</w:t>
      </w:r>
      <w:r>
        <w:rPr>
          <w:rFonts w:hint="eastAsia" w:ascii="宋体" w:hAnsi="宋体" w:eastAsia="宋体" w:cs="宋体"/>
          <w:color w:val="auto"/>
          <w:kern w:val="0"/>
          <w:sz w:val="28"/>
          <w:szCs w:val="28"/>
          <w:highlight w:val="none"/>
          <w:lang w:val="en-US" w:eastAsia="zh-CN"/>
        </w:rPr>
        <w:t>贵</w:t>
      </w:r>
      <w:r>
        <w:rPr>
          <w:rFonts w:hint="eastAsia" w:ascii="宋体" w:hAnsi="宋体" w:eastAsia="宋体" w:cs="宋体"/>
          <w:color w:val="auto"/>
          <w:kern w:val="0"/>
          <w:sz w:val="28"/>
          <w:szCs w:val="28"/>
          <w:highlight w:val="none"/>
        </w:rPr>
        <w:t>公司的</w:t>
      </w:r>
      <w:r>
        <w:rPr>
          <w:rFonts w:hint="eastAsia" w:ascii="宋体" w:hAnsi="宋体" w:eastAsia="宋体" w:cs="宋体"/>
          <w:color w:val="auto"/>
          <w:kern w:val="0"/>
          <w:sz w:val="28"/>
          <w:szCs w:val="28"/>
          <w:highlight w:val="none"/>
          <w:u w:val="single"/>
          <w:lang w:val="en-US" w:eastAsia="zh-CN"/>
        </w:rPr>
        <w:t>2021年度</w:t>
      </w:r>
      <w:r>
        <w:rPr>
          <w:rFonts w:hint="eastAsia" w:ascii="宋体" w:hAnsi="宋体" w:eastAsia="宋体" w:cs="宋体"/>
          <w:color w:val="auto"/>
          <w:sz w:val="28"/>
          <w:szCs w:val="28"/>
          <w:highlight w:val="none"/>
          <w:u w:val="single"/>
          <w:lang w:val="en-US" w:eastAsia="zh-CN"/>
        </w:rPr>
        <w:t>原料运输业务</w:t>
      </w:r>
      <w:r>
        <w:rPr>
          <w:rFonts w:hint="eastAsia" w:ascii="宋体" w:hAnsi="宋体" w:eastAsia="宋体" w:cs="宋体"/>
          <w:color w:val="auto"/>
          <w:kern w:val="0"/>
          <w:sz w:val="28"/>
          <w:szCs w:val="28"/>
          <w:highlight w:val="none"/>
        </w:rPr>
        <w:t>投标。委托代理人在的招标活动中以本单位的名义，并代表本人与你们进行磋商、签署文件和处理一切与此事有关的事务。</w:t>
      </w:r>
    </w:p>
    <w:p>
      <w:pPr>
        <w:keepNext w:val="0"/>
        <w:keepLines w:val="0"/>
        <w:pageBreakBefore w:val="0"/>
        <w:widowControl w:val="0"/>
        <w:kinsoku/>
        <w:wordWrap/>
        <w:overflowPunct/>
        <w:topLinePunct w:val="0"/>
        <w:autoSpaceDE/>
        <w:autoSpaceDN/>
        <w:bidi w:val="0"/>
        <w:adjustRightInd/>
        <w:spacing w:line="520" w:lineRule="exact"/>
        <w:ind w:firstLine="48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代理人的一切行为均代表本单位，与本人的行为具有同等法律效力。本单位将承担代理人行为的全部法律责任和后果。</w:t>
      </w:r>
    </w:p>
    <w:p>
      <w:pPr>
        <w:keepNext w:val="0"/>
        <w:keepLines w:val="0"/>
        <w:pageBreakBefore w:val="0"/>
        <w:widowControl w:val="0"/>
        <w:kinsoku/>
        <w:wordWrap/>
        <w:overflowPunct/>
        <w:topLinePunct w:val="0"/>
        <w:autoSpaceDE/>
        <w:autoSpaceDN/>
        <w:bidi w:val="0"/>
        <w:adjustRightInd/>
        <w:spacing w:line="520" w:lineRule="exact"/>
        <w:ind w:firstLine="48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代理人无权转让委托权。特此委托。</w:t>
      </w: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highlight w:val="none"/>
        </w:rPr>
      </w:pP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highlight w:val="none"/>
        </w:rPr>
      </w:pP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highlight w:val="none"/>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投标人</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法人代表或</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 xml:space="preserve">委托代理人：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 xml:space="preserve">日期：         年      月      日 </w:t>
      </w:r>
    </w:p>
    <w:p>
      <w:pPr>
        <w:pageBreakBefore w:val="0"/>
        <w:kinsoku/>
        <w:wordWrap/>
        <w:overflowPunct/>
        <w:topLinePunct w:val="0"/>
        <w:bidi w:val="0"/>
        <w:adjustRightInd/>
        <w:spacing w:line="520" w:lineRule="exact"/>
        <w:jc w:val="center"/>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sz w:val="28"/>
          <w:szCs w:val="28"/>
          <w:highlight w:val="none"/>
        </w:rPr>
        <w:br w:type="page"/>
      </w:r>
      <w:bookmarkStart w:id="23" w:name="_Toc209779845"/>
      <w:bookmarkStart w:id="24" w:name="_Toc209780685"/>
      <w:bookmarkStart w:id="25" w:name="_Toc209780803"/>
      <w:bookmarkStart w:id="26" w:name="_Toc209780349"/>
      <w:bookmarkStart w:id="27" w:name="_Toc209779898"/>
      <w:bookmarkStart w:id="28" w:name="_Toc209780914"/>
      <w:bookmarkStart w:id="29" w:name="_Toc209781025"/>
      <w:r>
        <w:rPr>
          <w:rStyle w:val="38"/>
          <w:rFonts w:hint="eastAsia" w:ascii="宋体" w:hAnsi="宋体" w:eastAsia="宋体" w:cs="宋体"/>
          <w:color w:val="auto"/>
          <w:sz w:val="28"/>
          <w:szCs w:val="28"/>
          <w:highlight w:val="none"/>
        </w:rPr>
        <w:t>3、投标保证书</w:t>
      </w:r>
      <w:bookmarkEnd w:id="23"/>
      <w:bookmarkEnd w:id="24"/>
      <w:bookmarkEnd w:id="25"/>
      <w:bookmarkEnd w:id="26"/>
      <w:bookmarkEnd w:id="27"/>
      <w:bookmarkEnd w:id="28"/>
      <w:bookmarkEnd w:id="29"/>
      <w:r>
        <w:rPr>
          <w:rStyle w:val="38"/>
          <w:rFonts w:hint="eastAsia" w:ascii="宋体" w:hAnsi="宋体" w:eastAsia="宋体" w:cs="宋体"/>
          <w:color w:val="auto"/>
          <w:sz w:val="28"/>
          <w:szCs w:val="28"/>
          <w:highlight w:val="none"/>
        </w:rPr>
        <w:t>（格式）</w:t>
      </w:r>
    </w:p>
    <w:p>
      <w:pPr>
        <w:pageBreakBefore w:val="0"/>
        <w:kinsoku/>
        <w:wordWrap/>
        <w:overflowPunct/>
        <w:topLinePunct w:val="0"/>
        <w:bidi w:val="0"/>
        <w:adjustRightInd/>
        <w:spacing w:line="520" w:lineRule="exact"/>
        <w:ind w:firstLine="560"/>
        <w:textAlignment w:val="auto"/>
        <w:rPr>
          <w:rFonts w:hint="eastAsia" w:ascii="宋体" w:hAnsi="宋体" w:eastAsia="宋体" w:cs="宋体"/>
          <w:color w:val="auto"/>
          <w:sz w:val="28"/>
          <w:szCs w:val="28"/>
          <w:highlight w:val="none"/>
        </w:rPr>
      </w:pPr>
    </w:p>
    <w:p>
      <w:pPr>
        <w:pageBreakBefore w:val="0"/>
        <w:kinsoku/>
        <w:wordWrap/>
        <w:overflowPunct/>
        <w:topLinePunct w:val="0"/>
        <w:autoSpaceDE w:val="0"/>
        <w:autoSpaceDN w:val="0"/>
        <w:bidi w:val="0"/>
        <w:adjustRightInd/>
        <w:spacing w:line="520" w:lineRule="exact"/>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致：</w:t>
      </w:r>
      <w:r>
        <w:rPr>
          <w:rFonts w:hint="eastAsia" w:ascii="宋体" w:hAnsi="宋体" w:eastAsia="宋体" w:cs="宋体"/>
          <w:color w:val="auto"/>
          <w:kern w:val="0"/>
          <w:sz w:val="28"/>
          <w:szCs w:val="28"/>
          <w:highlight w:val="none"/>
          <w:u w:val="single"/>
          <w:lang w:val="en-US" w:eastAsia="zh-CN"/>
        </w:rPr>
        <w:t>铜陵铜冠建安新型环保建材科技</w:t>
      </w:r>
      <w:r>
        <w:rPr>
          <w:rFonts w:hint="eastAsia" w:ascii="宋体" w:hAnsi="宋体" w:eastAsia="宋体" w:cs="宋体"/>
          <w:color w:val="auto"/>
          <w:kern w:val="0"/>
          <w:sz w:val="28"/>
          <w:szCs w:val="28"/>
          <w:highlight w:val="none"/>
          <w:u w:val="single"/>
        </w:rPr>
        <w:t>有限公司</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在研究了</w:t>
      </w:r>
      <w:r>
        <w:rPr>
          <w:rFonts w:hint="eastAsia" w:ascii="宋体" w:hAnsi="宋体" w:eastAsia="宋体" w:cs="宋体"/>
          <w:color w:val="auto"/>
          <w:kern w:val="0"/>
          <w:sz w:val="28"/>
          <w:szCs w:val="28"/>
          <w:highlight w:val="none"/>
          <w:lang w:val="en-US" w:eastAsia="zh-CN"/>
        </w:rPr>
        <w:t>贵</w:t>
      </w:r>
      <w:r>
        <w:rPr>
          <w:rFonts w:hint="eastAsia" w:ascii="宋体" w:hAnsi="宋体" w:eastAsia="宋体" w:cs="宋体"/>
          <w:color w:val="auto"/>
          <w:kern w:val="0"/>
          <w:sz w:val="28"/>
          <w:szCs w:val="28"/>
          <w:highlight w:val="none"/>
        </w:rPr>
        <w:t>公司</w:t>
      </w:r>
      <w:r>
        <w:rPr>
          <w:rFonts w:hint="eastAsia" w:ascii="宋体" w:hAnsi="宋体" w:eastAsia="宋体" w:cs="宋体"/>
          <w:color w:val="auto"/>
          <w:kern w:val="0"/>
          <w:sz w:val="28"/>
          <w:szCs w:val="28"/>
          <w:highlight w:val="none"/>
          <w:u w:val="single"/>
          <w:lang w:val="en-US" w:eastAsia="zh-CN"/>
        </w:rPr>
        <w:t>2021年度</w:t>
      </w:r>
      <w:r>
        <w:rPr>
          <w:rFonts w:hint="eastAsia" w:ascii="宋体" w:hAnsi="宋体" w:eastAsia="宋体" w:cs="宋体"/>
          <w:color w:val="auto"/>
          <w:sz w:val="28"/>
          <w:szCs w:val="28"/>
          <w:highlight w:val="none"/>
          <w:u w:val="single"/>
          <w:lang w:val="en-US" w:eastAsia="zh-CN"/>
        </w:rPr>
        <w:t>原料运输业务</w:t>
      </w:r>
      <w:r>
        <w:rPr>
          <w:rFonts w:hint="eastAsia" w:ascii="宋体" w:hAnsi="宋体" w:eastAsia="宋体" w:cs="宋体"/>
          <w:color w:val="auto"/>
          <w:kern w:val="0"/>
          <w:sz w:val="28"/>
          <w:szCs w:val="28"/>
          <w:highlight w:val="none"/>
        </w:rPr>
        <w:t>招标文件内容后，我方决定参加投标。</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一、我方保证在投标有效期内遵守本投标文件，在此期间本投标文件对我方始终有约束力，并可随时被贵方接受。</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二、如我方中标，我方保证接受贵方的书面中标通知书。本投标文件连同贵方的招标文件、中标通知书及供货合同将成为约束各方的合同文件。</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三、如我方中标，我方保证按照合同文件的要求，组织技术、管理力量，安排人员及材料，在规定的期限内履约合同。</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四、我方理解</w:t>
      </w:r>
      <w:r>
        <w:rPr>
          <w:rFonts w:hint="eastAsia" w:ascii="宋体" w:hAnsi="宋体" w:eastAsia="宋体" w:cs="宋体"/>
          <w:color w:val="auto"/>
          <w:kern w:val="0"/>
          <w:sz w:val="28"/>
          <w:szCs w:val="28"/>
          <w:highlight w:val="none"/>
          <w:lang w:val="en-US" w:eastAsia="zh-CN"/>
        </w:rPr>
        <w:t>并接受</w:t>
      </w:r>
      <w:r>
        <w:rPr>
          <w:rFonts w:hint="eastAsia" w:ascii="宋体" w:hAnsi="宋体" w:eastAsia="宋体" w:cs="宋体"/>
          <w:color w:val="auto"/>
          <w:kern w:val="0"/>
          <w:sz w:val="28"/>
          <w:szCs w:val="28"/>
          <w:highlight w:val="none"/>
        </w:rPr>
        <w:t>贵方不支付我方投标中的任何费用。</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五、如我方未中标，我方将表示理解和接受。</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highlight w:val="none"/>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highlight w:val="none"/>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投标人</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法人代表或</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 xml:space="preserve">委托代理人：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 xml:space="preserve">日期：         年      月      日 </w:t>
      </w: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highlight w:val="none"/>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highlight w:val="none"/>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highlight w:val="none"/>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highlight w:val="none"/>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highlight w:val="none"/>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highlight w:val="none"/>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highlight w:val="none"/>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highlight w:val="none"/>
        </w:rPr>
      </w:pPr>
    </w:p>
    <w:p>
      <w:pPr>
        <w:pageBreakBefore w:val="0"/>
        <w:kinsoku/>
        <w:wordWrap/>
        <w:overflowPunct/>
        <w:topLinePunct w:val="0"/>
        <w:bidi w:val="0"/>
        <w:adjustRightInd/>
        <w:spacing w:line="520" w:lineRule="exact"/>
        <w:jc w:val="center"/>
        <w:textAlignment w:val="auto"/>
        <w:rPr>
          <w:rFonts w:hint="eastAsia" w:ascii="宋体" w:hAnsi="宋体" w:eastAsia="宋体" w:cs="宋体"/>
          <w:color w:val="auto"/>
          <w:kern w:val="0"/>
          <w:sz w:val="28"/>
          <w:szCs w:val="28"/>
          <w:highlight w:val="none"/>
        </w:rPr>
      </w:pPr>
      <w:r>
        <w:rPr>
          <w:rStyle w:val="38"/>
          <w:rFonts w:hint="eastAsia" w:ascii="宋体" w:hAnsi="宋体" w:eastAsia="宋体" w:cs="宋体"/>
          <w:color w:val="auto"/>
          <w:sz w:val="28"/>
          <w:szCs w:val="28"/>
          <w:highlight w:val="none"/>
          <w:lang w:val="en-US" w:eastAsia="zh-CN"/>
        </w:rPr>
        <w:t>4</w:t>
      </w:r>
      <w:r>
        <w:rPr>
          <w:rStyle w:val="38"/>
          <w:rFonts w:hint="eastAsia" w:ascii="宋体" w:hAnsi="宋体" w:eastAsia="宋体" w:cs="宋体"/>
          <w:color w:val="auto"/>
          <w:sz w:val="28"/>
          <w:szCs w:val="28"/>
          <w:highlight w:val="none"/>
        </w:rPr>
        <w:t>、投标</w:t>
      </w:r>
      <w:r>
        <w:rPr>
          <w:rStyle w:val="38"/>
          <w:rFonts w:hint="eastAsia" w:ascii="宋体" w:hAnsi="宋体" w:eastAsia="宋体" w:cs="宋体"/>
          <w:color w:val="auto"/>
          <w:sz w:val="28"/>
          <w:szCs w:val="28"/>
          <w:highlight w:val="none"/>
          <w:lang w:val="en-US" w:eastAsia="zh-CN"/>
        </w:rPr>
        <w:t>报价表</w:t>
      </w: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highlight w:val="none"/>
        </w:rPr>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3429"/>
        <w:gridCol w:w="1358"/>
        <w:gridCol w:w="1080"/>
        <w:gridCol w:w="1485"/>
        <w:gridCol w:w="1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eastAsia="宋体" w:cs="宋体"/>
                <w:b/>
                <w:bCs/>
                <w:color w:val="auto"/>
                <w:kern w:val="0"/>
                <w:sz w:val="21"/>
                <w:szCs w:val="21"/>
                <w:highlight w:val="none"/>
                <w:vertAlign w:val="baseline"/>
                <w:lang w:val="en-US" w:eastAsia="zh-CN" w:bidi="ar"/>
              </w:rPr>
              <w:t>1</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cs="宋体"/>
                <w:b/>
                <w:bCs/>
                <w:color w:val="auto"/>
                <w:kern w:val="0"/>
                <w:sz w:val="21"/>
                <w:szCs w:val="21"/>
                <w:highlight w:val="none"/>
                <w:vertAlign w:val="baseline"/>
                <w:lang w:val="en-US" w:eastAsia="zh-CN" w:bidi="ar"/>
              </w:rPr>
            </w:pPr>
            <w:r>
              <w:rPr>
                <w:rFonts w:hint="eastAsia" w:ascii="宋体" w:hAnsi="宋体" w:cs="宋体"/>
                <w:b/>
                <w:bCs/>
                <w:color w:val="auto"/>
                <w:kern w:val="0"/>
                <w:sz w:val="21"/>
                <w:szCs w:val="21"/>
                <w:highlight w:val="none"/>
                <w:vertAlign w:val="baseline"/>
                <w:lang w:val="en-US" w:eastAsia="zh-CN" w:bidi="ar"/>
              </w:rPr>
              <w:t>标</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cs="宋体"/>
                <w:b/>
                <w:bCs/>
                <w:color w:val="auto"/>
                <w:kern w:val="0"/>
                <w:sz w:val="21"/>
                <w:szCs w:val="21"/>
                <w:highlight w:val="none"/>
                <w:vertAlign w:val="baseline"/>
                <w:lang w:val="en-US" w:eastAsia="zh-CN" w:bidi="ar"/>
              </w:rPr>
              <w:t>段</w:t>
            </w:r>
          </w:p>
        </w:tc>
        <w:tc>
          <w:tcPr>
            <w:tcW w:w="3429"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eastAsia="宋体" w:cs="宋体"/>
                <w:b/>
                <w:bCs/>
                <w:color w:val="auto"/>
                <w:kern w:val="0"/>
                <w:sz w:val="21"/>
                <w:szCs w:val="21"/>
                <w:highlight w:val="none"/>
                <w:vertAlign w:val="baseline"/>
                <w:lang w:val="en-US" w:eastAsia="zh-CN" w:bidi="ar"/>
              </w:rPr>
              <w:t>起点-终点</w:t>
            </w:r>
          </w:p>
        </w:tc>
        <w:tc>
          <w:tcPr>
            <w:tcW w:w="1358"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eastAsia="宋体" w:cs="宋体"/>
                <w:b/>
                <w:bCs/>
                <w:color w:val="auto"/>
                <w:kern w:val="0"/>
                <w:sz w:val="21"/>
                <w:szCs w:val="21"/>
                <w:highlight w:val="none"/>
                <w:vertAlign w:val="baseline"/>
                <w:lang w:val="en-US" w:eastAsia="zh-CN" w:bidi="ar"/>
              </w:rPr>
              <w:t>预计年运输量</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eastAsia="宋体" w:cs="宋体"/>
                <w:b/>
                <w:bCs/>
                <w:color w:val="auto"/>
                <w:kern w:val="0"/>
                <w:sz w:val="21"/>
                <w:szCs w:val="21"/>
                <w:highlight w:val="none"/>
                <w:vertAlign w:val="baseline"/>
                <w:lang w:val="en-US" w:eastAsia="zh-CN" w:bidi="ar"/>
              </w:rPr>
              <w:t>（万吨）</w:t>
            </w:r>
          </w:p>
        </w:tc>
        <w:tc>
          <w:tcPr>
            <w:tcW w:w="1080"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eastAsia="宋体" w:cs="宋体"/>
                <w:b/>
                <w:bCs/>
                <w:color w:val="auto"/>
                <w:kern w:val="0"/>
                <w:sz w:val="21"/>
                <w:szCs w:val="21"/>
                <w:highlight w:val="none"/>
                <w:vertAlign w:val="baseline"/>
                <w:lang w:val="en-US" w:eastAsia="zh-CN" w:bidi="ar"/>
              </w:rPr>
              <w:t>预计距离</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eastAsia="宋体" w:cs="宋体"/>
                <w:b/>
                <w:bCs/>
                <w:color w:val="auto"/>
                <w:kern w:val="0"/>
                <w:sz w:val="21"/>
                <w:szCs w:val="21"/>
                <w:highlight w:val="none"/>
                <w:vertAlign w:val="baseline"/>
                <w:lang w:val="en-US" w:eastAsia="zh-CN" w:bidi="ar"/>
              </w:rPr>
              <w:t>（km）</w:t>
            </w:r>
          </w:p>
        </w:tc>
        <w:tc>
          <w:tcPr>
            <w:tcW w:w="1485"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eastAsia="宋体" w:cs="宋体"/>
                <w:b/>
                <w:bCs/>
                <w:color w:val="auto"/>
                <w:kern w:val="0"/>
                <w:sz w:val="21"/>
                <w:szCs w:val="21"/>
                <w:highlight w:val="none"/>
                <w:vertAlign w:val="baseline"/>
                <w:lang w:val="en-US" w:eastAsia="zh-CN" w:bidi="ar"/>
              </w:rPr>
              <w:t>最高投标限价</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eastAsia="宋体" w:cs="宋体"/>
                <w:b/>
                <w:bCs/>
                <w:color w:val="auto"/>
                <w:kern w:val="0"/>
                <w:sz w:val="21"/>
                <w:szCs w:val="21"/>
                <w:highlight w:val="none"/>
                <w:vertAlign w:val="baseline"/>
                <w:lang w:val="en-US" w:eastAsia="zh-CN" w:bidi="ar"/>
              </w:rPr>
              <w:t>（元）</w:t>
            </w:r>
          </w:p>
        </w:tc>
        <w:tc>
          <w:tcPr>
            <w:tcW w:w="1230"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eastAsia="宋体" w:cs="宋体"/>
                <w:b/>
                <w:bCs/>
                <w:color w:val="auto"/>
                <w:kern w:val="0"/>
                <w:sz w:val="21"/>
                <w:szCs w:val="21"/>
                <w:highlight w:val="none"/>
                <w:vertAlign w:val="baseline"/>
                <w:lang w:val="en-US" w:eastAsia="zh-CN" w:bidi="ar"/>
              </w:rPr>
              <w:t>报价</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eastAsia="宋体" w:cs="宋体"/>
                <w:b/>
                <w:bCs/>
                <w:color w:val="auto"/>
                <w:kern w:val="0"/>
                <w:sz w:val="21"/>
                <w:szCs w:val="21"/>
                <w:highlight w:val="none"/>
                <w:vertAlign w:val="baseline"/>
                <w:lang w:val="en-US" w:eastAsia="zh-CN" w:bidi="ar"/>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noWrap w:val="0"/>
            <w:vAlign w:val="top"/>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1</w:t>
            </w:r>
          </w:p>
        </w:tc>
        <w:tc>
          <w:tcPr>
            <w:tcW w:w="3429" w:type="dxa"/>
            <w:noWrap w:val="0"/>
            <w:vAlign w:val="top"/>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马钢嘉华当涂马嘉分厂-铜冠建材</w:t>
            </w:r>
          </w:p>
        </w:tc>
        <w:tc>
          <w:tcPr>
            <w:tcW w:w="1358" w:type="dxa"/>
            <w:vMerge w:val="restart"/>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10</w:t>
            </w:r>
          </w:p>
        </w:tc>
        <w:tc>
          <w:tcPr>
            <w:tcW w:w="1080" w:type="dxa"/>
            <w:vMerge w:val="restart"/>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125</w:t>
            </w:r>
          </w:p>
        </w:tc>
        <w:tc>
          <w:tcPr>
            <w:tcW w:w="1485" w:type="dxa"/>
            <w:vMerge w:val="restart"/>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highlight w:val="none"/>
                <w:vertAlign w:val="baseline"/>
                <w:lang w:val="en-US" w:eastAsia="zh-CN" w:bidi="ar"/>
              </w:rPr>
            </w:pPr>
          </w:p>
        </w:tc>
        <w:tc>
          <w:tcPr>
            <w:tcW w:w="1230" w:type="dxa"/>
            <w:vMerge w:val="restart"/>
            <w:noWrap w:val="0"/>
            <w:vAlign w:val="center"/>
          </w:tcPr>
          <w:p>
            <w:pPr>
              <w:keepNext w:val="0"/>
              <w:keepLines w:val="0"/>
              <w:pageBreakBefore w:val="0"/>
              <w:widowControl w:val="0"/>
              <w:suppressLineNumbers w:val="0"/>
              <w:kinsoku/>
              <w:wordWrap/>
              <w:overflowPunct/>
              <w:topLinePunct w:val="0"/>
              <w:bidi w:val="0"/>
              <w:adjustRightInd/>
              <w:spacing w:before="100" w:beforeAutospacing="1" w:after="100" w:afterAutospacing="1" w:line="520" w:lineRule="exact"/>
              <w:ind w:left="0" w:leftChars="0" w:right="0" w:rightChars="0"/>
              <w:jc w:val="center"/>
              <w:textAlignment w:val="auto"/>
              <w:rPr>
                <w:rFonts w:hint="eastAsia" w:ascii="宋体" w:hAnsi="宋体" w:eastAsia="宋体" w:cs="宋体"/>
                <w:color w:val="auto"/>
                <w:kern w:val="2"/>
                <w:sz w:val="21"/>
                <w:szCs w:val="21"/>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noWrap w:val="0"/>
            <w:vAlign w:val="top"/>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2</w:t>
            </w:r>
          </w:p>
        </w:tc>
        <w:tc>
          <w:tcPr>
            <w:tcW w:w="3429" w:type="dxa"/>
            <w:noWrap w:val="0"/>
            <w:vAlign w:val="top"/>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both"/>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马钢嘉华宣城南嘉分厂-铜冠建材</w:t>
            </w:r>
          </w:p>
        </w:tc>
        <w:tc>
          <w:tcPr>
            <w:tcW w:w="1358" w:type="dxa"/>
            <w:vMerge w:val="continue"/>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color w:val="auto"/>
                <w:kern w:val="0"/>
                <w:sz w:val="21"/>
                <w:szCs w:val="21"/>
                <w:highlight w:val="none"/>
                <w:vertAlign w:val="baseline"/>
                <w:lang w:val="en-US" w:eastAsia="zh-CN" w:bidi="ar"/>
              </w:rPr>
            </w:pPr>
          </w:p>
        </w:tc>
        <w:tc>
          <w:tcPr>
            <w:tcW w:w="1080" w:type="dxa"/>
            <w:vMerge w:val="continue"/>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color w:val="auto"/>
                <w:kern w:val="0"/>
                <w:sz w:val="21"/>
                <w:szCs w:val="21"/>
                <w:highlight w:val="none"/>
                <w:vertAlign w:val="baseline"/>
                <w:lang w:val="en-US" w:eastAsia="zh-CN" w:bidi="ar"/>
              </w:rPr>
            </w:pPr>
          </w:p>
        </w:tc>
        <w:tc>
          <w:tcPr>
            <w:tcW w:w="1485" w:type="dxa"/>
            <w:vMerge w:val="continue"/>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color w:val="auto"/>
                <w:kern w:val="0"/>
                <w:sz w:val="21"/>
                <w:szCs w:val="21"/>
                <w:highlight w:val="none"/>
                <w:vertAlign w:val="baseline"/>
                <w:lang w:val="en-US" w:eastAsia="zh-CN" w:bidi="ar"/>
              </w:rPr>
            </w:pPr>
          </w:p>
        </w:tc>
        <w:tc>
          <w:tcPr>
            <w:tcW w:w="1230" w:type="dxa"/>
            <w:vMerge w:val="continue"/>
            <w:noWrap w:val="0"/>
            <w:vAlign w:val="center"/>
          </w:tcPr>
          <w:p>
            <w:pPr>
              <w:keepNext w:val="0"/>
              <w:keepLines w:val="0"/>
              <w:pageBreakBefore w:val="0"/>
              <w:widowControl w:val="0"/>
              <w:suppressLineNumbers w:val="0"/>
              <w:kinsoku/>
              <w:wordWrap/>
              <w:overflowPunct/>
              <w:topLinePunct w:val="0"/>
              <w:bidi w:val="0"/>
              <w:adjustRightInd/>
              <w:spacing w:before="100" w:beforeAutospacing="1" w:after="100" w:afterAutospacing="1" w:line="520" w:lineRule="exact"/>
              <w:ind w:left="0" w:leftChars="0" w:right="0" w:rightChars="0"/>
              <w:jc w:val="center"/>
              <w:textAlignment w:val="auto"/>
              <w:rPr>
                <w:rFonts w:hint="eastAsia" w:ascii="宋体" w:hAnsi="宋体" w:eastAsia="宋体" w:cs="宋体"/>
                <w:color w:val="auto"/>
                <w:kern w:val="2"/>
                <w:sz w:val="21"/>
                <w:szCs w:val="21"/>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noWrap w:val="0"/>
            <w:vAlign w:val="top"/>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3</w:t>
            </w:r>
          </w:p>
        </w:tc>
        <w:tc>
          <w:tcPr>
            <w:tcW w:w="3429" w:type="dxa"/>
            <w:noWrap w:val="0"/>
            <w:vAlign w:val="top"/>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both"/>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马钢嘉华本部-铜冠建材</w:t>
            </w:r>
          </w:p>
        </w:tc>
        <w:tc>
          <w:tcPr>
            <w:tcW w:w="1358" w:type="dxa"/>
            <w:vMerge w:val="restart"/>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2</w:t>
            </w:r>
          </w:p>
        </w:tc>
        <w:tc>
          <w:tcPr>
            <w:tcW w:w="1080" w:type="dxa"/>
            <w:vMerge w:val="restart"/>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145</w:t>
            </w:r>
          </w:p>
        </w:tc>
        <w:tc>
          <w:tcPr>
            <w:tcW w:w="1485" w:type="dxa"/>
            <w:vMerge w:val="restart"/>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highlight w:val="none"/>
                <w:vertAlign w:val="baseline"/>
                <w:lang w:val="en-US" w:eastAsia="zh-CN" w:bidi="ar"/>
              </w:rPr>
            </w:pPr>
          </w:p>
        </w:tc>
        <w:tc>
          <w:tcPr>
            <w:tcW w:w="1230" w:type="dxa"/>
            <w:vMerge w:val="restart"/>
            <w:noWrap w:val="0"/>
            <w:vAlign w:val="center"/>
          </w:tcPr>
          <w:p>
            <w:pPr>
              <w:keepNext w:val="0"/>
              <w:keepLines w:val="0"/>
              <w:pageBreakBefore w:val="0"/>
              <w:widowControl w:val="0"/>
              <w:suppressLineNumbers w:val="0"/>
              <w:kinsoku/>
              <w:wordWrap/>
              <w:overflowPunct/>
              <w:topLinePunct w:val="0"/>
              <w:bidi w:val="0"/>
              <w:adjustRightInd/>
              <w:spacing w:before="100" w:beforeAutospacing="1" w:after="100" w:afterAutospacing="1" w:line="520" w:lineRule="exact"/>
              <w:ind w:left="0" w:leftChars="0" w:right="0" w:rightChars="0"/>
              <w:jc w:val="center"/>
              <w:textAlignment w:val="auto"/>
              <w:rPr>
                <w:rFonts w:hint="eastAsia" w:ascii="宋体" w:hAnsi="宋体" w:eastAsia="宋体" w:cs="宋体"/>
                <w:color w:val="auto"/>
                <w:kern w:val="2"/>
                <w:sz w:val="21"/>
                <w:szCs w:val="21"/>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noWrap w:val="0"/>
            <w:vAlign w:val="top"/>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4</w:t>
            </w:r>
          </w:p>
        </w:tc>
        <w:tc>
          <w:tcPr>
            <w:tcW w:w="3429" w:type="dxa"/>
            <w:noWrap w:val="0"/>
            <w:vAlign w:val="top"/>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both"/>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马钢嘉华利民星火分厂-铜冠建材</w:t>
            </w:r>
          </w:p>
        </w:tc>
        <w:tc>
          <w:tcPr>
            <w:tcW w:w="1358" w:type="dxa"/>
            <w:vMerge w:val="continue"/>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color w:val="auto"/>
                <w:kern w:val="0"/>
                <w:sz w:val="21"/>
                <w:szCs w:val="21"/>
                <w:highlight w:val="none"/>
                <w:vertAlign w:val="baseline"/>
                <w:lang w:val="en-US" w:eastAsia="zh-CN" w:bidi="ar"/>
              </w:rPr>
            </w:pPr>
          </w:p>
        </w:tc>
        <w:tc>
          <w:tcPr>
            <w:tcW w:w="1080" w:type="dxa"/>
            <w:vMerge w:val="continue"/>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color w:val="auto"/>
                <w:kern w:val="0"/>
                <w:sz w:val="21"/>
                <w:szCs w:val="21"/>
                <w:highlight w:val="none"/>
                <w:vertAlign w:val="baseline"/>
                <w:lang w:val="en-US" w:eastAsia="zh-CN" w:bidi="ar"/>
              </w:rPr>
            </w:pPr>
          </w:p>
        </w:tc>
        <w:tc>
          <w:tcPr>
            <w:tcW w:w="1485" w:type="dxa"/>
            <w:vMerge w:val="continue"/>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highlight w:val="none"/>
                <w:vertAlign w:val="baseline"/>
                <w:lang w:val="en-US" w:eastAsia="zh-CN" w:bidi="ar"/>
              </w:rPr>
            </w:pPr>
          </w:p>
        </w:tc>
        <w:tc>
          <w:tcPr>
            <w:tcW w:w="1230" w:type="dxa"/>
            <w:vMerge w:val="continue"/>
            <w:noWrap w:val="0"/>
            <w:vAlign w:val="center"/>
          </w:tcPr>
          <w:p>
            <w:pPr>
              <w:keepNext w:val="0"/>
              <w:keepLines w:val="0"/>
              <w:pageBreakBefore w:val="0"/>
              <w:widowControl w:val="0"/>
              <w:suppressLineNumbers w:val="0"/>
              <w:kinsoku/>
              <w:wordWrap/>
              <w:overflowPunct/>
              <w:topLinePunct w:val="0"/>
              <w:bidi w:val="0"/>
              <w:adjustRightInd/>
              <w:spacing w:before="100" w:beforeAutospacing="1" w:after="100" w:afterAutospacing="1" w:line="520" w:lineRule="exact"/>
              <w:ind w:left="0" w:leftChars="0" w:right="0" w:rightChars="0"/>
              <w:jc w:val="center"/>
              <w:textAlignment w:val="auto"/>
              <w:rPr>
                <w:rFonts w:hint="eastAsia" w:ascii="宋体" w:hAnsi="宋体" w:eastAsia="宋体" w:cs="宋体"/>
                <w:color w:val="auto"/>
                <w:kern w:val="2"/>
                <w:sz w:val="21"/>
                <w:szCs w:val="21"/>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noWrap w:val="0"/>
            <w:vAlign w:val="top"/>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5</w:t>
            </w:r>
          </w:p>
        </w:tc>
        <w:tc>
          <w:tcPr>
            <w:tcW w:w="3429" w:type="dxa"/>
            <w:noWrap w:val="0"/>
            <w:vAlign w:val="top"/>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both"/>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芜湖三山区新兴铸管-铜冠建材</w:t>
            </w:r>
          </w:p>
        </w:tc>
        <w:tc>
          <w:tcPr>
            <w:tcW w:w="1358"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12</w:t>
            </w:r>
          </w:p>
        </w:tc>
        <w:tc>
          <w:tcPr>
            <w:tcW w:w="1080"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66</w:t>
            </w:r>
          </w:p>
        </w:tc>
        <w:tc>
          <w:tcPr>
            <w:tcW w:w="1485"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highlight w:val="none"/>
                <w:vertAlign w:val="baseline"/>
                <w:lang w:val="en-US" w:eastAsia="zh-CN" w:bidi="ar"/>
              </w:rPr>
            </w:pPr>
          </w:p>
        </w:tc>
        <w:tc>
          <w:tcPr>
            <w:tcW w:w="1230" w:type="dxa"/>
            <w:noWrap w:val="0"/>
            <w:vAlign w:val="center"/>
          </w:tcPr>
          <w:p>
            <w:pPr>
              <w:keepNext w:val="0"/>
              <w:keepLines w:val="0"/>
              <w:pageBreakBefore w:val="0"/>
              <w:widowControl w:val="0"/>
              <w:suppressLineNumbers w:val="0"/>
              <w:kinsoku/>
              <w:wordWrap/>
              <w:overflowPunct/>
              <w:topLinePunct w:val="0"/>
              <w:bidi w:val="0"/>
              <w:adjustRightInd/>
              <w:spacing w:before="100" w:beforeAutospacing="1" w:after="100" w:afterAutospacing="1" w:line="520" w:lineRule="exact"/>
              <w:ind w:left="0" w:leftChars="0" w:right="0" w:rightChars="0"/>
              <w:jc w:val="center"/>
              <w:textAlignment w:val="auto"/>
              <w:rPr>
                <w:rFonts w:hint="eastAsia" w:ascii="宋体" w:hAnsi="宋体" w:eastAsia="宋体" w:cs="宋体"/>
                <w:color w:val="auto"/>
                <w:kern w:val="2"/>
                <w:sz w:val="21"/>
                <w:szCs w:val="21"/>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noWrap w:val="0"/>
            <w:vAlign w:val="top"/>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Fonts w:hint="default" w:ascii="宋体" w:hAnsi="宋体" w:eastAsia="宋体" w:cs="宋体"/>
                <w:color w:val="auto"/>
                <w:kern w:val="0"/>
                <w:sz w:val="21"/>
                <w:szCs w:val="21"/>
                <w:highlight w:val="none"/>
                <w:vertAlign w:val="baseline"/>
                <w:lang w:val="en-US" w:eastAsia="zh-CN" w:bidi="ar"/>
              </w:rPr>
            </w:pPr>
            <w:r>
              <w:rPr>
                <w:rFonts w:hint="eastAsia" w:ascii="宋体" w:hAnsi="宋体" w:cs="宋体"/>
                <w:color w:val="auto"/>
                <w:kern w:val="0"/>
                <w:sz w:val="21"/>
                <w:szCs w:val="21"/>
                <w:highlight w:val="none"/>
                <w:vertAlign w:val="baseline"/>
                <w:lang w:val="en-US" w:eastAsia="zh-CN" w:bidi="ar"/>
              </w:rPr>
              <w:t>6</w:t>
            </w:r>
          </w:p>
        </w:tc>
        <w:tc>
          <w:tcPr>
            <w:tcW w:w="3429" w:type="dxa"/>
            <w:noWrap w:val="0"/>
            <w:vAlign w:val="top"/>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both"/>
              <w:textAlignment w:val="auto"/>
              <w:rPr>
                <w:rFonts w:hint="default" w:ascii="宋体" w:hAnsi="宋体" w:eastAsia="宋体" w:cs="宋体"/>
                <w:color w:val="auto"/>
                <w:kern w:val="0"/>
                <w:sz w:val="21"/>
                <w:szCs w:val="21"/>
                <w:highlight w:val="none"/>
                <w:vertAlign w:val="baseline"/>
                <w:lang w:val="en-US" w:eastAsia="zh-CN" w:bidi="ar"/>
              </w:rPr>
            </w:pPr>
            <w:r>
              <w:rPr>
                <w:rFonts w:hint="eastAsia" w:ascii="宋体" w:hAnsi="宋体" w:cs="宋体"/>
                <w:color w:val="auto"/>
                <w:kern w:val="0"/>
                <w:sz w:val="21"/>
                <w:szCs w:val="21"/>
                <w:highlight w:val="none"/>
                <w:vertAlign w:val="baseline"/>
                <w:lang w:val="en-US" w:eastAsia="zh-CN" w:bidi="ar"/>
              </w:rPr>
              <w:t>铜陵上峰-</w:t>
            </w:r>
            <w:r>
              <w:rPr>
                <w:rFonts w:hint="eastAsia" w:ascii="宋体" w:hAnsi="宋体" w:eastAsia="宋体" w:cs="宋体"/>
                <w:color w:val="auto"/>
                <w:kern w:val="0"/>
                <w:sz w:val="21"/>
                <w:szCs w:val="21"/>
                <w:highlight w:val="none"/>
                <w:vertAlign w:val="baseline"/>
                <w:lang w:val="en-US" w:eastAsia="zh-CN" w:bidi="ar"/>
              </w:rPr>
              <w:t>铜冠建材</w:t>
            </w:r>
          </w:p>
        </w:tc>
        <w:tc>
          <w:tcPr>
            <w:tcW w:w="1358"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highlight w:val="none"/>
                <w:vertAlign w:val="baseline"/>
                <w:lang w:val="en-US" w:eastAsia="zh-CN" w:bidi="ar"/>
              </w:rPr>
            </w:pPr>
            <w:r>
              <w:rPr>
                <w:rFonts w:hint="eastAsia" w:ascii="宋体" w:hAnsi="宋体" w:cs="宋体"/>
                <w:color w:val="auto"/>
                <w:kern w:val="0"/>
                <w:sz w:val="21"/>
                <w:szCs w:val="21"/>
                <w:highlight w:val="none"/>
                <w:vertAlign w:val="baseline"/>
                <w:lang w:val="en-US" w:eastAsia="zh-CN" w:bidi="ar"/>
              </w:rPr>
              <w:t>2</w:t>
            </w:r>
          </w:p>
        </w:tc>
        <w:tc>
          <w:tcPr>
            <w:tcW w:w="1080"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highlight w:val="none"/>
                <w:vertAlign w:val="baseline"/>
                <w:lang w:val="en-US" w:eastAsia="zh-CN" w:bidi="ar"/>
              </w:rPr>
            </w:pPr>
            <w:r>
              <w:rPr>
                <w:rFonts w:hint="eastAsia" w:ascii="宋体" w:hAnsi="宋体" w:cs="宋体"/>
                <w:color w:val="auto"/>
                <w:kern w:val="0"/>
                <w:sz w:val="21"/>
                <w:szCs w:val="21"/>
                <w:highlight w:val="none"/>
                <w:vertAlign w:val="baseline"/>
                <w:lang w:val="en-US" w:eastAsia="zh-CN" w:bidi="ar"/>
              </w:rPr>
              <w:t>18</w:t>
            </w:r>
          </w:p>
        </w:tc>
        <w:tc>
          <w:tcPr>
            <w:tcW w:w="1485"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highlight w:val="none"/>
                <w:vertAlign w:val="baseline"/>
                <w:lang w:val="en-US" w:eastAsia="zh-CN" w:bidi="ar"/>
              </w:rPr>
            </w:pPr>
          </w:p>
        </w:tc>
        <w:tc>
          <w:tcPr>
            <w:tcW w:w="1230" w:type="dxa"/>
            <w:noWrap w:val="0"/>
            <w:vAlign w:val="center"/>
          </w:tcPr>
          <w:p>
            <w:pPr>
              <w:keepNext w:val="0"/>
              <w:keepLines w:val="0"/>
              <w:pageBreakBefore w:val="0"/>
              <w:widowControl w:val="0"/>
              <w:suppressLineNumbers w:val="0"/>
              <w:kinsoku/>
              <w:wordWrap/>
              <w:overflowPunct/>
              <w:topLinePunct w:val="0"/>
              <w:bidi w:val="0"/>
              <w:adjustRightInd/>
              <w:spacing w:before="100" w:beforeAutospacing="1" w:after="100" w:afterAutospacing="1" w:line="520" w:lineRule="exact"/>
              <w:ind w:left="0" w:leftChars="0" w:right="0" w:rightChars="0"/>
              <w:jc w:val="center"/>
              <w:textAlignment w:val="auto"/>
              <w:rPr>
                <w:rFonts w:hint="eastAsia" w:ascii="宋体" w:hAnsi="宋体" w:eastAsia="宋体" w:cs="宋体"/>
                <w:color w:val="auto"/>
                <w:kern w:val="2"/>
                <w:sz w:val="21"/>
                <w:szCs w:val="21"/>
                <w:highlight w:val="none"/>
                <w:lang w:val="en-US" w:eastAsia="zh-CN" w:bidi="ar"/>
              </w:rPr>
            </w:pPr>
          </w:p>
        </w:tc>
      </w:tr>
    </w:tbl>
    <w:p>
      <w:pPr>
        <w:pageBreakBefore w:val="0"/>
        <w:kinsoku/>
        <w:wordWrap/>
        <w:overflowPunct/>
        <w:topLinePunct w:val="0"/>
        <w:bidi w:val="0"/>
        <w:adjustRightInd/>
        <w:spacing w:line="520" w:lineRule="exact"/>
        <w:textAlignment w:val="auto"/>
        <w:rPr>
          <w:rFonts w:hint="eastAsia" w:ascii="宋体" w:hAnsi="宋体" w:eastAsia="宋体" w:cs="宋体"/>
          <w:color w:val="auto"/>
          <w:sz w:val="21"/>
          <w:szCs w:val="21"/>
          <w:highlight w:val="none"/>
          <w:lang w:val="en-US" w:eastAsia="zh-CN"/>
        </w:rPr>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3429"/>
        <w:gridCol w:w="1358"/>
        <w:gridCol w:w="1080"/>
        <w:gridCol w:w="1485"/>
        <w:gridCol w:w="1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eastAsia="宋体" w:cs="宋体"/>
                <w:b/>
                <w:bCs/>
                <w:color w:val="auto"/>
                <w:kern w:val="0"/>
                <w:sz w:val="21"/>
                <w:szCs w:val="21"/>
                <w:highlight w:val="none"/>
                <w:vertAlign w:val="baseline"/>
                <w:lang w:val="en-US" w:eastAsia="zh-CN" w:bidi="ar"/>
              </w:rPr>
              <w:t>2</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cs="宋体"/>
                <w:b/>
                <w:bCs/>
                <w:color w:val="auto"/>
                <w:kern w:val="0"/>
                <w:sz w:val="21"/>
                <w:szCs w:val="21"/>
                <w:highlight w:val="none"/>
                <w:vertAlign w:val="baseline"/>
                <w:lang w:val="en-US" w:eastAsia="zh-CN" w:bidi="ar"/>
              </w:rPr>
            </w:pPr>
            <w:r>
              <w:rPr>
                <w:rFonts w:hint="eastAsia" w:ascii="宋体" w:hAnsi="宋体" w:cs="宋体"/>
                <w:b/>
                <w:bCs/>
                <w:color w:val="auto"/>
                <w:kern w:val="0"/>
                <w:sz w:val="21"/>
                <w:szCs w:val="21"/>
                <w:highlight w:val="none"/>
                <w:vertAlign w:val="baseline"/>
                <w:lang w:val="en-US" w:eastAsia="zh-CN" w:bidi="ar"/>
              </w:rPr>
              <w:t>标</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cs="宋体"/>
                <w:b/>
                <w:bCs/>
                <w:color w:val="auto"/>
                <w:kern w:val="0"/>
                <w:sz w:val="21"/>
                <w:szCs w:val="21"/>
                <w:highlight w:val="none"/>
                <w:vertAlign w:val="baseline"/>
                <w:lang w:val="en-US" w:eastAsia="zh-CN" w:bidi="ar"/>
              </w:rPr>
              <w:t>段</w:t>
            </w:r>
          </w:p>
        </w:tc>
        <w:tc>
          <w:tcPr>
            <w:tcW w:w="3429"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eastAsia="宋体" w:cs="宋体"/>
                <w:b/>
                <w:bCs/>
                <w:color w:val="auto"/>
                <w:kern w:val="0"/>
                <w:sz w:val="21"/>
                <w:szCs w:val="21"/>
                <w:highlight w:val="none"/>
                <w:vertAlign w:val="baseline"/>
                <w:lang w:val="en-US" w:eastAsia="zh-CN" w:bidi="ar"/>
              </w:rPr>
              <w:t>起点-终点</w:t>
            </w:r>
          </w:p>
        </w:tc>
        <w:tc>
          <w:tcPr>
            <w:tcW w:w="1358"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eastAsia="宋体" w:cs="宋体"/>
                <w:b/>
                <w:bCs/>
                <w:color w:val="auto"/>
                <w:kern w:val="0"/>
                <w:sz w:val="21"/>
                <w:szCs w:val="21"/>
                <w:highlight w:val="none"/>
                <w:vertAlign w:val="baseline"/>
                <w:lang w:val="en-US" w:eastAsia="zh-CN" w:bidi="ar"/>
              </w:rPr>
              <w:t>预计年运输量</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eastAsia="宋体" w:cs="宋体"/>
                <w:b/>
                <w:bCs/>
                <w:color w:val="auto"/>
                <w:kern w:val="0"/>
                <w:sz w:val="21"/>
                <w:szCs w:val="21"/>
                <w:highlight w:val="none"/>
                <w:vertAlign w:val="baseline"/>
                <w:lang w:val="en-US" w:eastAsia="zh-CN" w:bidi="ar"/>
              </w:rPr>
              <w:t>（万吨）</w:t>
            </w:r>
          </w:p>
        </w:tc>
        <w:tc>
          <w:tcPr>
            <w:tcW w:w="1080"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eastAsia="宋体" w:cs="宋体"/>
                <w:b/>
                <w:bCs/>
                <w:color w:val="auto"/>
                <w:kern w:val="0"/>
                <w:sz w:val="21"/>
                <w:szCs w:val="21"/>
                <w:highlight w:val="none"/>
                <w:vertAlign w:val="baseline"/>
                <w:lang w:val="en-US" w:eastAsia="zh-CN" w:bidi="ar"/>
              </w:rPr>
              <w:t>预计距离</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eastAsia="宋体" w:cs="宋体"/>
                <w:b/>
                <w:bCs/>
                <w:color w:val="auto"/>
                <w:kern w:val="0"/>
                <w:sz w:val="21"/>
                <w:szCs w:val="21"/>
                <w:highlight w:val="none"/>
                <w:vertAlign w:val="baseline"/>
                <w:lang w:val="en-US" w:eastAsia="zh-CN" w:bidi="ar"/>
              </w:rPr>
              <w:t>（km）</w:t>
            </w:r>
          </w:p>
        </w:tc>
        <w:tc>
          <w:tcPr>
            <w:tcW w:w="1485"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eastAsia="宋体" w:cs="宋体"/>
                <w:b/>
                <w:bCs/>
                <w:color w:val="auto"/>
                <w:kern w:val="0"/>
                <w:sz w:val="21"/>
                <w:szCs w:val="21"/>
                <w:highlight w:val="none"/>
                <w:vertAlign w:val="baseline"/>
                <w:lang w:val="en-US" w:eastAsia="zh-CN" w:bidi="ar"/>
              </w:rPr>
              <w:t>最高投标限价</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eastAsia="宋体" w:cs="宋体"/>
                <w:b/>
                <w:bCs/>
                <w:color w:val="auto"/>
                <w:kern w:val="0"/>
                <w:sz w:val="21"/>
                <w:szCs w:val="21"/>
                <w:highlight w:val="none"/>
                <w:vertAlign w:val="baseline"/>
                <w:lang w:val="en-US" w:eastAsia="zh-CN" w:bidi="ar"/>
              </w:rPr>
              <w:t>（元）</w:t>
            </w:r>
          </w:p>
        </w:tc>
        <w:tc>
          <w:tcPr>
            <w:tcW w:w="1230"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eastAsia="宋体" w:cs="宋体"/>
                <w:b/>
                <w:bCs/>
                <w:color w:val="auto"/>
                <w:kern w:val="0"/>
                <w:sz w:val="21"/>
                <w:szCs w:val="21"/>
                <w:highlight w:val="none"/>
                <w:vertAlign w:val="baseline"/>
                <w:lang w:val="en-US" w:eastAsia="zh-CN" w:bidi="ar"/>
              </w:rPr>
              <w:t>报价</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eastAsia="宋体" w:cs="宋体"/>
                <w:b/>
                <w:bCs/>
                <w:color w:val="auto"/>
                <w:kern w:val="0"/>
                <w:sz w:val="21"/>
                <w:szCs w:val="21"/>
                <w:highlight w:val="none"/>
                <w:vertAlign w:val="baseline"/>
                <w:lang w:val="en-US" w:eastAsia="zh-CN" w:bidi="ar"/>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noWrap w:val="0"/>
            <w:vAlign w:val="top"/>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1</w:t>
            </w:r>
          </w:p>
        </w:tc>
        <w:tc>
          <w:tcPr>
            <w:tcW w:w="3429" w:type="dxa"/>
            <w:noWrap w:val="0"/>
            <w:vAlign w:val="top"/>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有色热电厂粉煤灰库-铜冠建材</w:t>
            </w:r>
          </w:p>
        </w:tc>
        <w:tc>
          <w:tcPr>
            <w:tcW w:w="1358"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4</w:t>
            </w:r>
          </w:p>
        </w:tc>
        <w:tc>
          <w:tcPr>
            <w:tcW w:w="1080"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2</w:t>
            </w:r>
          </w:p>
        </w:tc>
        <w:tc>
          <w:tcPr>
            <w:tcW w:w="1485"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highlight w:val="none"/>
                <w:vertAlign w:val="baseline"/>
                <w:lang w:val="en-US" w:eastAsia="zh-CN" w:bidi="ar"/>
              </w:rPr>
            </w:pPr>
          </w:p>
        </w:tc>
        <w:tc>
          <w:tcPr>
            <w:tcW w:w="1230" w:type="dxa"/>
            <w:noWrap w:val="0"/>
            <w:vAlign w:val="center"/>
          </w:tcPr>
          <w:p>
            <w:pPr>
              <w:keepNext w:val="0"/>
              <w:keepLines w:val="0"/>
              <w:pageBreakBefore w:val="0"/>
              <w:widowControl w:val="0"/>
              <w:suppressLineNumbers w:val="0"/>
              <w:kinsoku/>
              <w:wordWrap/>
              <w:overflowPunct/>
              <w:topLinePunct w:val="0"/>
              <w:bidi w:val="0"/>
              <w:adjustRightInd/>
              <w:spacing w:before="100" w:beforeAutospacing="1" w:after="100" w:afterAutospacing="1" w:line="520" w:lineRule="exact"/>
              <w:ind w:left="0" w:leftChars="0" w:right="0" w:rightChars="0"/>
              <w:jc w:val="center"/>
              <w:textAlignment w:val="auto"/>
              <w:rPr>
                <w:rFonts w:hint="eastAsia" w:ascii="宋体" w:hAnsi="宋体" w:eastAsia="宋体" w:cs="宋体"/>
                <w:color w:val="auto"/>
                <w:kern w:val="2"/>
                <w:sz w:val="21"/>
                <w:szCs w:val="21"/>
                <w:highlight w:val="none"/>
                <w:lang w:val="en-US" w:eastAsia="zh-CN" w:bidi="ar"/>
              </w:rPr>
            </w:pPr>
          </w:p>
        </w:tc>
      </w:tr>
    </w:tbl>
    <w:p>
      <w:pPr>
        <w:pageBreakBefore w:val="0"/>
        <w:kinsoku/>
        <w:wordWrap/>
        <w:overflowPunct/>
        <w:topLinePunct w:val="0"/>
        <w:bidi w:val="0"/>
        <w:adjustRightInd/>
        <w:spacing w:line="520" w:lineRule="exact"/>
        <w:textAlignment w:val="auto"/>
        <w:rPr>
          <w:rFonts w:hint="eastAsia" w:ascii="宋体" w:hAnsi="宋体" w:eastAsia="宋体" w:cs="宋体"/>
          <w:color w:val="auto"/>
          <w:sz w:val="21"/>
          <w:szCs w:val="21"/>
          <w:highlight w:val="none"/>
          <w:lang w:val="en-US" w:eastAsia="zh-CN"/>
        </w:rPr>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3429"/>
        <w:gridCol w:w="1358"/>
        <w:gridCol w:w="1080"/>
        <w:gridCol w:w="1485"/>
        <w:gridCol w:w="1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eastAsia="宋体" w:cs="宋体"/>
                <w:b/>
                <w:bCs/>
                <w:color w:val="auto"/>
                <w:kern w:val="0"/>
                <w:sz w:val="21"/>
                <w:szCs w:val="21"/>
                <w:highlight w:val="none"/>
                <w:vertAlign w:val="baseline"/>
                <w:lang w:val="en-US" w:eastAsia="zh-CN" w:bidi="ar"/>
              </w:rPr>
              <w:t>3</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cs="宋体"/>
                <w:b/>
                <w:bCs/>
                <w:color w:val="auto"/>
                <w:kern w:val="0"/>
                <w:sz w:val="21"/>
                <w:szCs w:val="21"/>
                <w:highlight w:val="none"/>
                <w:vertAlign w:val="baseline"/>
                <w:lang w:val="en-US" w:eastAsia="zh-CN" w:bidi="ar"/>
              </w:rPr>
            </w:pPr>
            <w:r>
              <w:rPr>
                <w:rFonts w:hint="eastAsia" w:ascii="宋体" w:hAnsi="宋体" w:cs="宋体"/>
                <w:b/>
                <w:bCs/>
                <w:color w:val="auto"/>
                <w:kern w:val="0"/>
                <w:sz w:val="21"/>
                <w:szCs w:val="21"/>
                <w:highlight w:val="none"/>
                <w:vertAlign w:val="baseline"/>
                <w:lang w:val="en-US" w:eastAsia="zh-CN" w:bidi="ar"/>
              </w:rPr>
              <w:t>标</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cs="宋体"/>
                <w:b/>
                <w:bCs/>
                <w:color w:val="auto"/>
                <w:kern w:val="0"/>
                <w:sz w:val="21"/>
                <w:szCs w:val="21"/>
                <w:highlight w:val="none"/>
                <w:vertAlign w:val="baseline"/>
                <w:lang w:val="en-US" w:eastAsia="zh-CN" w:bidi="ar"/>
              </w:rPr>
              <w:t>段</w:t>
            </w:r>
          </w:p>
        </w:tc>
        <w:tc>
          <w:tcPr>
            <w:tcW w:w="3429"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eastAsia="宋体" w:cs="宋体"/>
                <w:b/>
                <w:bCs/>
                <w:color w:val="auto"/>
                <w:kern w:val="0"/>
                <w:sz w:val="21"/>
                <w:szCs w:val="21"/>
                <w:highlight w:val="none"/>
                <w:vertAlign w:val="baseline"/>
                <w:lang w:val="en-US" w:eastAsia="zh-CN" w:bidi="ar"/>
              </w:rPr>
              <w:t>起点-终点</w:t>
            </w:r>
          </w:p>
        </w:tc>
        <w:tc>
          <w:tcPr>
            <w:tcW w:w="1358"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eastAsia="宋体" w:cs="宋体"/>
                <w:b/>
                <w:bCs/>
                <w:color w:val="auto"/>
                <w:kern w:val="0"/>
                <w:sz w:val="21"/>
                <w:szCs w:val="21"/>
                <w:highlight w:val="none"/>
                <w:vertAlign w:val="baseline"/>
                <w:lang w:val="en-US" w:eastAsia="zh-CN" w:bidi="ar"/>
              </w:rPr>
              <w:t>预计年运输量</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eastAsia="宋体" w:cs="宋体"/>
                <w:b/>
                <w:bCs/>
                <w:color w:val="auto"/>
                <w:kern w:val="0"/>
                <w:sz w:val="21"/>
                <w:szCs w:val="21"/>
                <w:highlight w:val="none"/>
                <w:vertAlign w:val="baseline"/>
                <w:lang w:val="en-US" w:eastAsia="zh-CN" w:bidi="ar"/>
              </w:rPr>
              <w:t>（万吨）</w:t>
            </w:r>
          </w:p>
        </w:tc>
        <w:tc>
          <w:tcPr>
            <w:tcW w:w="1080"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eastAsia="宋体" w:cs="宋体"/>
                <w:b/>
                <w:bCs/>
                <w:color w:val="auto"/>
                <w:kern w:val="0"/>
                <w:sz w:val="21"/>
                <w:szCs w:val="21"/>
                <w:highlight w:val="none"/>
                <w:vertAlign w:val="baseline"/>
                <w:lang w:val="en-US" w:eastAsia="zh-CN" w:bidi="ar"/>
              </w:rPr>
              <w:t>预计距离</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eastAsia="宋体" w:cs="宋体"/>
                <w:b/>
                <w:bCs/>
                <w:color w:val="auto"/>
                <w:kern w:val="0"/>
                <w:sz w:val="21"/>
                <w:szCs w:val="21"/>
                <w:highlight w:val="none"/>
                <w:vertAlign w:val="baseline"/>
                <w:lang w:val="en-US" w:eastAsia="zh-CN" w:bidi="ar"/>
              </w:rPr>
              <w:t>（km）</w:t>
            </w:r>
          </w:p>
        </w:tc>
        <w:tc>
          <w:tcPr>
            <w:tcW w:w="1485"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eastAsia="宋体" w:cs="宋体"/>
                <w:b/>
                <w:bCs/>
                <w:color w:val="auto"/>
                <w:kern w:val="0"/>
                <w:sz w:val="21"/>
                <w:szCs w:val="21"/>
                <w:highlight w:val="none"/>
                <w:vertAlign w:val="baseline"/>
                <w:lang w:val="en-US" w:eastAsia="zh-CN" w:bidi="ar"/>
              </w:rPr>
              <w:t>最高投标限价</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eastAsia="宋体" w:cs="宋体"/>
                <w:b/>
                <w:bCs/>
                <w:color w:val="auto"/>
                <w:kern w:val="0"/>
                <w:sz w:val="21"/>
                <w:szCs w:val="21"/>
                <w:highlight w:val="none"/>
                <w:vertAlign w:val="baseline"/>
                <w:lang w:val="en-US" w:eastAsia="zh-CN" w:bidi="ar"/>
              </w:rPr>
              <w:t>（元）</w:t>
            </w:r>
          </w:p>
        </w:tc>
        <w:tc>
          <w:tcPr>
            <w:tcW w:w="1230"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eastAsia="宋体" w:cs="宋体"/>
                <w:b/>
                <w:bCs/>
                <w:color w:val="auto"/>
                <w:kern w:val="0"/>
                <w:sz w:val="21"/>
                <w:szCs w:val="21"/>
                <w:highlight w:val="none"/>
                <w:vertAlign w:val="baseline"/>
                <w:lang w:val="en-US" w:eastAsia="zh-CN" w:bidi="ar"/>
              </w:rPr>
              <w:t>报价</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highlight w:val="none"/>
                <w:vertAlign w:val="baseline"/>
                <w:lang w:val="en-US" w:eastAsia="zh-CN" w:bidi="ar"/>
              </w:rPr>
            </w:pPr>
            <w:r>
              <w:rPr>
                <w:rFonts w:hint="eastAsia" w:ascii="宋体" w:hAnsi="宋体" w:eastAsia="宋体" w:cs="宋体"/>
                <w:b/>
                <w:bCs/>
                <w:color w:val="auto"/>
                <w:kern w:val="0"/>
                <w:sz w:val="21"/>
                <w:szCs w:val="21"/>
                <w:highlight w:val="none"/>
                <w:vertAlign w:val="baseline"/>
                <w:lang w:val="en-US" w:eastAsia="zh-CN" w:bidi="ar"/>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noWrap w:val="0"/>
            <w:vAlign w:val="top"/>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1</w:t>
            </w:r>
          </w:p>
        </w:tc>
        <w:tc>
          <w:tcPr>
            <w:tcW w:w="3429" w:type="dxa"/>
            <w:noWrap w:val="0"/>
            <w:vAlign w:val="top"/>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有色热电厂炉渣石膏库-铜冠建材</w:t>
            </w:r>
          </w:p>
        </w:tc>
        <w:tc>
          <w:tcPr>
            <w:tcW w:w="1358"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2</w:t>
            </w:r>
          </w:p>
        </w:tc>
        <w:tc>
          <w:tcPr>
            <w:tcW w:w="1080"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2</w:t>
            </w:r>
          </w:p>
        </w:tc>
        <w:tc>
          <w:tcPr>
            <w:tcW w:w="1485"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highlight w:val="none"/>
                <w:vertAlign w:val="baseline"/>
                <w:lang w:val="en-US" w:eastAsia="zh-CN" w:bidi="ar"/>
              </w:rPr>
            </w:pPr>
          </w:p>
        </w:tc>
        <w:tc>
          <w:tcPr>
            <w:tcW w:w="1230" w:type="dxa"/>
            <w:noWrap w:val="0"/>
            <w:vAlign w:val="center"/>
          </w:tcPr>
          <w:p>
            <w:pPr>
              <w:keepNext w:val="0"/>
              <w:keepLines w:val="0"/>
              <w:pageBreakBefore w:val="0"/>
              <w:widowControl w:val="0"/>
              <w:suppressLineNumbers w:val="0"/>
              <w:kinsoku/>
              <w:wordWrap/>
              <w:overflowPunct/>
              <w:topLinePunct w:val="0"/>
              <w:bidi w:val="0"/>
              <w:adjustRightInd/>
              <w:spacing w:before="100" w:beforeAutospacing="1" w:after="100" w:afterAutospacing="1" w:line="520" w:lineRule="exact"/>
              <w:ind w:left="0" w:leftChars="0" w:right="0" w:rightChars="0"/>
              <w:jc w:val="center"/>
              <w:textAlignment w:val="auto"/>
              <w:rPr>
                <w:rFonts w:hint="eastAsia" w:ascii="宋体" w:hAnsi="宋体" w:eastAsia="宋体" w:cs="宋体"/>
                <w:color w:val="auto"/>
                <w:kern w:val="2"/>
                <w:sz w:val="21"/>
                <w:szCs w:val="21"/>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noWrap w:val="0"/>
            <w:vAlign w:val="top"/>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Fonts w:hint="default"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2</w:t>
            </w:r>
          </w:p>
        </w:tc>
        <w:tc>
          <w:tcPr>
            <w:tcW w:w="3429" w:type="dxa"/>
            <w:noWrap w:val="0"/>
            <w:vAlign w:val="top"/>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Fonts w:hint="default"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有色热电厂石膏库-对外销售</w:t>
            </w:r>
          </w:p>
        </w:tc>
        <w:tc>
          <w:tcPr>
            <w:tcW w:w="1358"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0.8</w:t>
            </w:r>
          </w:p>
        </w:tc>
        <w:tc>
          <w:tcPr>
            <w:tcW w:w="1080"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color w:val="auto"/>
                <w:kern w:val="0"/>
                <w:sz w:val="21"/>
                <w:szCs w:val="21"/>
                <w:highlight w:val="none"/>
                <w:vertAlign w:val="baseline"/>
                <w:lang w:val="en-US" w:eastAsia="zh-CN" w:bidi="ar"/>
              </w:rPr>
            </w:pPr>
          </w:p>
        </w:tc>
        <w:tc>
          <w:tcPr>
            <w:tcW w:w="1485"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highlight w:val="none"/>
                <w:vertAlign w:val="baseline"/>
                <w:lang w:val="en-US" w:eastAsia="zh-CN" w:bidi="ar"/>
              </w:rPr>
            </w:pPr>
          </w:p>
        </w:tc>
        <w:tc>
          <w:tcPr>
            <w:tcW w:w="1230" w:type="dxa"/>
            <w:noWrap w:val="0"/>
            <w:vAlign w:val="center"/>
          </w:tcPr>
          <w:p>
            <w:pPr>
              <w:keepNext w:val="0"/>
              <w:keepLines w:val="0"/>
              <w:pageBreakBefore w:val="0"/>
              <w:widowControl w:val="0"/>
              <w:suppressLineNumbers w:val="0"/>
              <w:kinsoku/>
              <w:wordWrap/>
              <w:overflowPunct/>
              <w:topLinePunct w:val="0"/>
              <w:bidi w:val="0"/>
              <w:adjustRightInd/>
              <w:spacing w:before="100" w:beforeAutospacing="1" w:after="100" w:afterAutospacing="1" w:line="520" w:lineRule="exact"/>
              <w:ind w:left="0" w:leftChars="0" w:right="0" w:rightChars="0"/>
              <w:jc w:val="center"/>
              <w:textAlignment w:val="auto"/>
              <w:rPr>
                <w:rFonts w:hint="eastAsia" w:ascii="宋体" w:hAnsi="宋体" w:eastAsia="宋体" w:cs="宋体"/>
                <w:color w:val="auto"/>
                <w:kern w:val="2"/>
                <w:sz w:val="21"/>
                <w:szCs w:val="21"/>
                <w:highlight w:val="none"/>
                <w:lang w:val="en-US" w:eastAsia="zh-CN" w:bidi="ar"/>
              </w:rPr>
            </w:pPr>
          </w:p>
        </w:tc>
      </w:tr>
    </w:tbl>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1"/>
          <w:szCs w:val="21"/>
          <w:highlight w:val="none"/>
          <w:lang w:val="en-US" w:eastAsia="zh-CN"/>
        </w:rPr>
        <w:t>注：以上运输价格含9%增值税，对外销售价格含3%增值税，最高投标限价开标时公布。</w:t>
      </w:r>
      <w:bookmarkStart w:id="30" w:name="_GoBack"/>
      <w:bookmarkEnd w:id="30"/>
    </w:p>
    <w:p>
      <w:pPr>
        <w:pageBreakBefore w:val="0"/>
        <w:kinsoku/>
        <w:wordWrap/>
        <w:overflowPunct/>
        <w:topLinePunct w:val="0"/>
        <w:bidi w:val="0"/>
        <w:adjustRightIn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投标单位(签章)：</w:t>
      </w:r>
    </w:p>
    <w:p>
      <w:pPr>
        <w:pageBreakBefore w:val="0"/>
        <w:kinsoku/>
        <w:wordWrap/>
        <w:overflowPunct/>
        <w:topLinePunct w:val="0"/>
        <w:bidi w:val="0"/>
        <w:adjustRightIn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法定代表人（或授权代理人）签名：    </w:t>
      </w:r>
    </w:p>
    <w:p>
      <w:pPr>
        <w:pageBreakBefore w:val="0"/>
        <w:kinsoku/>
        <w:wordWrap/>
        <w:overflowPunct/>
        <w:topLinePunct w:val="0"/>
        <w:bidi w:val="0"/>
        <w:adjustRightIn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8"/>
          <w:szCs w:val="28"/>
          <w:highlight w:val="none"/>
          <w:lang w:val="en-US" w:eastAsia="zh-CN"/>
        </w:rPr>
        <w:t xml:space="preserve">                   日          期：</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pPr>
        <w:pageBreakBefore w:val="0"/>
        <w:kinsoku/>
        <w:wordWrap/>
        <w:overflowPunct/>
        <w:topLinePunct w:val="0"/>
        <w:bidi w:val="0"/>
        <w:adjustRightInd/>
        <w:spacing w:line="520" w:lineRule="exact"/>
        <w:jc w:val="center"/>
        <w:textAlignment w:val="auto"/>
        <w:rPr>
          <w:rStyle w:val="38"/>
          <w:rFonts w:hint="eastAsia" w:ascii="宋体" w:hAnsi="宋体" w:eastAsia="宋体" w:cs="宋体"/>
          <w:color w:val="auto"/>
          <w:sz w:val="28"/>
          <w:szCs w:val="28"/>
          <w:highlight w:val="none"/>
          <w:lang w:val="en-US" w:eastAsia="zh-CN"/>
        </w:rPr>
      </w:pPr>
    </w:p>
    <w:p>
      <w:pPr>
        <w:pageBreakBefore w:val="0"/>
        <w:numPr>
          <w:ilvl w:val="0"/>
          <w:numId w:val="0"/>
        </w:numPr>
        <w:kinsoku/>
        <w:wordWrap/>
        <w:overflowPunct/>
        <w:topLinePunct w:val="0"/>
        <w:bidi w:val="0"/>
        <w:adjustRightInd/>
        <w:spacing w:line="520" w:lineRule="exact"/>
        <w:ind w:leftChars="0"/>
        <w:jc w:val="center"/>
        <w:textAlignment w:val="auto"/>
        <w:rPr>
          <w:rStyle w:val="38"/>
          <w:rFonts w:hint="eastAsia" w:ascii="宋体" w:hAnsi="宋体" w:eastAsia="宋体" w:cs="宋体"/>
          <w:b/>
          <w:color w:val="auto"/>
          <w:sz w:val="28"/>
          <w:szCs w:val="28"/>
          <w:highlight w:val="none"/>
          <w:lang w:val="en-US" w:eastAsia="zh-CN"/>
        </w:rPr>
      </w:pPr>
      <w:r>
        <w:rPr>
          <w:rStyle w:val="38"/>
          <w:rFonts w:hint="eastAsia" w:ascii="宋体" w:hAnsi="宋体" w:eastAsia="宋体" w:cs="宋体"/>
          <w:b/>
          <w:color w:val="auto"/>
          <w:sz w:val="28"/>
          <w:szCs w:val="28"/>
          <w:highlight w:val="none"/>
          <w:lang w:val="en-US" w:eastAsia="zh-CN"/>
        </w:rPr>
        <w:t>5、技术部分（格式）</w:t>
      </w:r>
    </w:p>
    <w:p>
      <w:pPr>
        <w:pageBreakBefore w:val="0"/>
        <w:numPr>
          <w:ilvl w:val="0"/>
          <w:numId w:val="0"/>
        </w:numPr>
        <w:kinsoku/>
        <w:wordWrap/>
        <w:overflowPunct/>
        <w:topLinePunct w:val="0"/>
        <w:bidi w:val="0"/>
        <w:adjustRightInd/>
        <w:spacing w:line="520" w:lineRule="exact"/>
        <w:ind w:leftChars="0"/>
        <w:jc w:val="both"/>
        <w:textAlignment w:val="auto"/>
        <w:rPr>
          <w:rStyle w:val="38"/>
          <w:rFonts w:hint="eastAsia" w:ascii="宋体" w:hAnsi="宋体" w:eastAsia="宋体" w:cs="宋体"/>
          <w:b/>
          <w:color w:val="auto"/>
          <w:sz w:val="28"/>
          <w:szCs w:val="28"/>
          <w:highlight w:val="none"/>
          <w:lang w:val="en-US" w:eastAsia="zh-CN"/>
        </w:rPr>
      </w:pPr>
    </w:p>
    <w:p>
      <w:pPr>
        <w:pageBreakBefore w:val="0"/>
        <w:numPr>
          <w:ilvl w:val="0"/>
          <w:numId w:val="21"/>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highlight w:val="none"/>
          <w:lang w:val="en-US" w:eastAsia="zh-CN"/>
        </w:rPr>
      </w:pPr>
      <w:r>
        <w:rPr>
          <w:rStyle w:val="38"/>
          <w:rFonts w:hint="eastAsia" w:ascii="宋体" w:hAnsi="宋体" w:eastAsia="宋体" w:cs="宋体"/>
          <w:b w:val="0"/>
          <w:bCs/>
          <w:color w:val="auto"/>
          <w:sz w:val="28"/>
          <w:szCs w:val="28"/>
          <w:highlight w:val="none"/>
          <w:lang w:val="en-US" w:eastAsia="zh-CN"/>
        </w:rPr>
        <w:t>营业执照副本（复印件）；</w:t>
      </w:r>
    </w:p>
    <w:p>
      <w:pPr>
        <w:pageBreakBefore w:val="0"/>
        <w:numPr>
          <w:ilvl w:val="0"/>
          <w:numId w:val="21"/>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highlight w:val="none"/>
          <w:lang w:val="en-US" w:eastAsia="zh-CN"/>
        </w:rPr>
      </w:pPr>
      <w:r>
        <w:rPr>
          <w:rStyle w:val="38"/>
          <w:rFonts w:hint="eastAsia" w:ascii="宋体" w:hAnsi="宋体" w:eastAsia="宋体" w:cs="宋体"/>
          <w:b w:val="0"/>
          <w:bCs/>
          <w:color w:val="auto"/>
          <w:sz w:val="28"/>
          <w:szCs w:val="28"/>
          <w:highlight w:val="none"/>
          <w:lang w:val="en-US" w:eastAsia="zh-CN"/>
        </w:rPr>
        <w:t>道路运输经营许可证（复印件）；</w:t>
      </w:r>
    </w:p>
    <w:p>
      <w:pPr>
        <w:pageBreakBefore w:val="0"/>
        <w:numPr>
          <w:ilvl w:val="0"/>
          <w:numId w:val="21"/>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highlight w:val="none"/>
          <w:lang w:val="en-US" w:eastAsia="zh-CN"/>
        </w:rPr>
      </w:pPr>
      <w:r>
        <w:rPr>
          <w:rStyle w:val="38"/>
          <w:rFonts w:hint="eastAsia" w:ascii="宋体" w:hAnsi="宋体" w:eastAsia="宋体" w:cs="宋体"/>
          <w:b w:val="0"/>
          <w:bCs/>
          <w:color w:val="auto"/>
          <w:sz w:val="28"/>
          <w:szCs w:val="28"/>
          <w:highlight w:val="none"/>
          <w:lang w:val="en-US" w:eastAsia="zh-CN"/>
        </w:rPr>
        <w:t>公司简介；</w:t>
      </w:r>
    </w:p>
    <w:p>
      <w:pPr>
        <w:pageBreakBefore w:val="0"/>
        <w:numPr>
          <w:ilvl w:val="0"/>
          <w:numId w:val="21"/>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highlight w:val="none"/>
          <w:lang w:val="en-US" w:eastAsia="zh-CN"/>
        </w:rPr>
      </w:pPr>
      <w:r>
        <w:rPr>
          <w:rStyle w:val="38"/>
          <w:rFonts w:hint="eastAsia" w:ascii="宋体" w:hAnsi="宋体" w:eastAsia="宋体" w:cs="宋体"/>
          <w:b w:val="0"/>
          <w:bCs/>
          <w:color w:val="auto"/>
          <w:sz w:val="28"/>
          <w:szCs w:val="28"/>
          <w:highlight w:val="none"/>
          <w:lang w:val="en-US" w:eastAsia="zh-CN"/>
        </w:rPr>
        <w:t>公司车辆调度及管理体系简介；</w:t>
      </w:r>
    </w:p>
    <w:p>
      <w:pPr>
        <w:pageBreakBefore w:val="0"/>
        <w:numPr>
          <w:ilvl w:val="0"/>
          <w:numId w:val="21"/>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highlight w:val="none"/>
          <w:lang w:val="en-US" w:eastAsia="zh-CN"/>
        </w:rPr>
      </w:pPr>
      <w:r>
        <w:rPr>
          <w:rStyle w:val="38"/>
          <w:rFonts w:hint="eastAsia" w:ascii="宋体" w:hAnsi="宋体" w:eastAsia="宋体" w:cs="宋体"/>
          <w:b w:val="0"/>
          <w:bCs/>
          <w:color w:val="auto"/>
          <w:sz w:val="28"/>
          <w:szCs w:val="28"/>
          <w:highlight w:val="none"/>
          <w:lang w:val="en-US" w:eastAsia="zh-CN"/>
        </w:rPr>
        <w:t>车辆统计表（附机动车登记证书复印件及保险证明）。</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3"/>
        <w:gridCol w:w="2057"/>
        <w:gridCol w:w="1526"/>
        <w:gridCol w:w="1715"/>
        <w:gridCol w:w="3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highlight w:val="none"/>
                <w:vertAlign w:val="baseline"/>
                <w:lang w:val="en-US" w:eastAsia="zh-CN"/>
              </w:rPr>
            </w:pPr>
            <w:r>
              <w:rPr>
                <w:rStyle w:val="38"/>
                <w:rFonts w:hint="eastAsia" w:ascii="宋体" w:hAnsi="宋体" w:eastAsia="宋体" w:cs="宋体"/>
                <w:b w:val="0"/>
                <w:bCs/>
                <w:color w:val="auto"/>
                <w:sz w:val="28"/>
                <w:szCs w:val="28"/>
                <w:highlight w:val="none"/>
                <w:vertAlign w:val="baseline"/>
                <w:lang w:val="en-US" w:eastAsia="zh-CN"/>
              </w:rPr>
              <w:t>序号</w:t>
            </w:r>
          </w:p>
        </w:tc>
        <w:tc>
          <w:tcPr>
            <w:tcW w:w="2109"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highlight w:val="none"/>
                <w:vertAlign w:val="baseline"/>
                <w:lang w:val="en-US" w:eastAsia="zh-CN"/>
              </w:rPr>
            </w:pPr>
            <w:r>
              <w:rPr>
                <w:rStyle w:val="38"/>
                <w:rFonts w:hint="eastAsia" w:ascii="宋体" w:hAnsi="宋体" w:eastAsia="宋体" w:cs="宋体"/>
                <w:b w:val="0"/>
                <w:bCs/>
                <w:color w:val="auto"/>
                <w:sz w:val="28"/>
                <w:szCs w:val="28"/>
                <w:highlight w:val="none"/>
                <w:vertAlign w:val="baseline"/>
                <w:lang w:val="en-US" w:eastAsia="zh-CN"/>
              </w:rPr>
              <w:t>车辆所有人</w:t>
            </w:r>
          </w:p>
        </w:tc>
        <w:tc>
          <w:tcPr>
            <w:tcW w:w="1560"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highlight w:val="none"/>
                <w:vertAlign w:val="baseline"/>
                <w:lang w:val="en-US" w:eastAsia="zh-CN"/>
              </w:rPr>
            </w:pPr>
            <w:r>
              <w:rPr>
                <w:rStyle w:val="38"/>
                <w:rFonts w:hint="eastAsia" w:ascii="宋体" w:hAnsi="宋体" w:eastAsia="宋体" w:cs="宋体"/>
                <w:b w:val="0"/>
                <w:bCs/>
                <w:color w:val="auto"/>
                <w:sz w:val="28"/>
                <w:szCs w:val="28"/>
                <w:highlight w:val="none"/>
                <w:vertAlign w:val="baseline"/>
                <w:lang w:val="en-US" w:eastAsia="zh-CN"/>
              </w:rPr>
              <w:t>车牌号</w:t>
            </w:r>
          </w:p>
        </w:tc>
        <w:tc>
          <w:tcPr>
            <w:tcW w:w="1755"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highlight w:val="none"/>
                <w:vertAlign w:val="baseline"/>
                <w:lang w:val="en-US" w:eastAsia="zh-CN"/>
              </w:rPr>
            </w:pPr>
            <w:r>
              <w:rPr>
                <w:rStyle w:val="38"/>
                <w:rFonts w:hint="eastAsia" w:ascii="宋体" w:hAnsi="宋体" w:eastAsia="宋体" w:cs="宋体"/>
                <w:b w:val="0"/>
                <w:bCs/>
                <w:color w:val="auto"/>
                <w:sz w:val="28"/>
                <w:szCs w:val="28"/>
                <w:highlight w:val="none"/>
                <w:vertAlign w:val="baseline"/>
                <w:lang w:val="en-US" w:eastAsia="zh-CN"/>
              </w:rPr>
              <w:t>购买年月</w:t>
            </w:r>
          </w:p>
        </w:tc>
        <w:tc>
          <w:tcPr>
            <w:tcW w:w="3141"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highlight w:val="none"/>
                <w:vertAlign w:val="baseline"/>
                <w:lang w:val="en-US" w:eastAsia="zh-CN"/>
              </w:rPr>
            </w:pPr>
            <w:r>
              <w:rPr>
                <w:rStyle w:val="38"/>
                <w:rFonts w:hint="eastAsia" w:ascii="宋体" w:hAnsi="宋体" w:eastAsia="宋体" w:cs="宋体"/>
                <w:b w:val="0"/>
                <w:bCs/>
                <w:color w:val="auto"/>
                <w:sz w:val="28"/>
                <w:szCs w:val="28"/>
                <w:highlight w:val="none"/>
                <w:vertAlign w:val="baseline"/>
                <w:lang w:val="en-US" w:eastAsia="zh-CN"/>
              </w:rPr>
              <w:t>机动车登记证书编号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highlight w:val="none"/>
                <w:vertAlign w:val="baseline"/>
                <w:lang w:val="en-US" w:eastAsia="zh-CN"/>
              </w:rPr>
            </w:pPr>
          </w:p>
        </w:tc>
        <w:tc>
          <w:tcPr>
            <w:tcW w:w="2109"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highlight w:val="none"/>
                <w:vertAlign w:val="baseline"/>
                <w:lang w:val="en-US" w:eastAsia="zh-CN"/>
              </w:rPr>
            </w:pPr>
          </w:p>
        </w:tc>
        <w:tc>
          <w:tcPr>
            <w:tcW w:w="1560"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highlight w:val="none"/>
                <w:vertAlign w:val="baseline"/>
                <w:lang w:val="en-US" w:eastAsia="zh-CN"/>
              </w:rPr>
            </w:pPr>
          </w:p>
        </w:tc>
        <w:tc>
          <w:tcPr>
            <w:tcW w:w="1755"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highlight w:val="none"/>
                <w:vertAlign w:val="baseline"/>
                <w:lang w:val="en-US" w:eastAsia="zh-CN"/>
              </w:rPr>
            </w:pPr>
          </w:p>
        </w:tc>
        <w:tc>
          <w:tcPr>
            <w:tcW w:w="3141"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highlight w:val="none"/>
                <w:vertAlign w:val="baseline"/>
                <w:lang w:val="en-US" w:eastAsia="zh-CN"/>
              </w:rPr>
            </w:pPr>
          </w:p>
        </w:tc>
        <w:tc>
          <w:tcPr>
            <w:tcW w:w="2109"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highlight w:val="none"/>
                <w:vertAlign w:val="baseline"/>
                <w:lang w:val="en-US" w:eastAsia="zh-CN"/>
              </w:rPr>
            </w:pPr>
          </w:p>
        </w:tc>
        <w:tc>
          <w:tcPr>
            <w:tcW w:w="1560"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highlight w:val="none"/>
                <w:vertAlign w:val="baseline"/>
                <w:lang w:val="en-US" w:eastAsia="zh-CN"/>
              </w:rPr>
            </w:pPr>
          </w:p>
        </w:tc>
        <w:tc>
          <w:tcPr>
            <w:tcW w:w="1755"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highlight w:val="none"/>
                <w:vertAlign w:val="baseline"/>
                <w:lang w:val="en-US" w:eastAsia="zh-CN"/>
              </w:rPr>
            </w:pPr>
          </w:p>
        </w:tc>
        <w:tc>
          <w:tcPr>
            <w:tcW w:w="3141"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highlight w:val="none"/>
                <w:vertAlign w:val="baseline"/>
                <w:lang w:val="en-US" w:eastAsia="zh-CN"/>
              </w:rPr>
            </w:pPr>
          </w:p>
        </w:tc>
        <w:tc>
          <w:tcPr>
            <w:tcW w:w="2109"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highlight w:val="none"/>
                <w:vertAlign w:val="baseline"/>
                <w:lang w:val="en-US" w:eastAsia="zh-CN"/>
              </w:rPr>
            </w:pPr>
          </w:p>
        </w:tc>
        <w:tc>
          <w:tcPr>
            <w:tcW w:w="1560"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highlight w:val="none"/>
                <w:vertAlign w:val="baseline"/>
                <w:lang w:val="en-US" w:eastAsia="zh-CN"/>
              </w:rPr>
            </w:pPr>
          </w:p>
        </w:tc>
        <w:tc>
          <w:tcPr>
            <w:tcW w:w="1755"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highlight w:val="none"/>
                <w:vertAlign w:val="baseline"/>
                <w:lang w:val="en-US" w:eastAsia="zh-CN"/>
              </w:rPr>
            </w:pPr>
          </w:p>
        </w:tc>
        <w:tc>
          <w:tcPr>
            <w:tcW w:w="3141"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highlight w:val="none"/>
                <w:vertAlign w:val="baseline"/>
                <w:lang w:val="en-US" w:eastAsia="zh-CN"/>
              </w:rPr>
            </w:pPr>
          </w:p>
        </w:tc>
        <w:tc>
          <w:tcPr>
            <w:tcW w:w="2109"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highlight w:val="none"/>
                <w:vertAlign w:val="baseline"/>
                <w:lang w:val="en-US" w:eastAsia="zh-CN"/>
              </w:rPr>
            </w:pPr>
          </w:p>
        </w:tc>
        <w:tc>
          <w:tcPr>
            <w:tcW w:w="1560"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highlight w:val="none"/>
                <w:vertAlign w:val="baseline"/>
                <w:lang w:val="en-US" w:eastAsia="zh-CN"/>
              </w:rPr>
            </w:pPr>
          </w:p>
        </w:tc>
        <w:tc>
          <w:tcPr>
            <w:tcW w:w="1755"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highlight w:val="none"/>
                <w:vertAlign w:val="baseline"/>
                <w:lang w:val="en-US" w:eastAsia="zh-CN"/>
              </w:rPr>
            </w:pPr>
          </w:p>
        </w:tc>
        <w:tc>
          <w:tcPr>
            <w:tcW w:w="3141"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highlight w:val="none"/>
                <w:vertAlign w:val="baseline"/>
                <w:lang w:val="en-US" w:eastAsia="zh-CN"/>
              </w:rPr>
            </w:pPr>
          </w:p>
        </w:tc>
        <w:tc>
          <w:tcPr>
            <w:tcW w:w="2109"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highlight w:val="none"/>
                <w:vertAlign w:val="baseline"/>
                <w:lang w:val="en-US" w:eastAsia="zh-CN"/>
              </w:rPr>
            </w:pPr>
          </w:p>
        </w:tc>
        <w:tc>
          <w:tcPr>
            <w:tcW w:w="1560"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highlight w:val="none"/>
                <w:vertAlign w:val="baseline"/>
                <w:lang w:val="en-US" w:eastAsia="zh-CN"/>
              </w:rPr>
            </w:pPr>
          </w:p>
        </w:tc>
        <w:tc>
          <w:tcPr>
            <w:tcW w:w="1755"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highlight w:val="none"/>
                <w:vertAlign w:val="baseline"/>
                <w:lang w:val="en-US" w:eastAsia="zh-CN"/>
              </w:rPr>
            </w:pPr>
          </w:p>
        </w:tc>
        <w:tc>
          <w:tcPr>
            <w:tcW w:w="3141"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highlight w:val="none"/>
                <w:vertAlign w:val="baseline"/>
                <w:lang w:val="en-US" w:eastAsia="zh-CN"/>
              </w:rPr>
            </w:pPr>
          </w:p>
        </w:tc>
      </w:tr>
    </w:tbl>
    <w:p>
      <w:pPr>
        <w:pageBreakBefore w:val="0"/>
        <w:numPr>
          <w:ilvl w:val="0"/>
          <w:numId w:val="0"/>
        </w:numPr>
        <w:kinsoku/>
        <w:wordWrap/>
        <w:overflowPunct/>
        <w:topLinePunct w:val="0"/>
        <w:bidi w:val="0"/>
        <w:adjustRightInd/>
        <w:spacing w:line="520" w:lineRule="exact"/>
        <w:jc w:val="both"/>
        <w:textAlignment w:val="auto"/>
        <w:rPr>
          <w:rStyle w:val="38"/>
          <w:rFonts w:hint="eastAsia" w:ascii="宋体" w:hAnsi="宋体" w:eastAsia="宋体" w:cs="宋体"/>
          <w:color w:val="auto"/>
          <w:sz w:val="28"/>
          <w:szCs w:val="28"/>
          <w:highlight w:val="none"/>
          <w:lang w:val="en-US" w:eastAsia="zh-CN"/>
        </w:rPr>
      </w:pPr>
    </w:p>
    <w:p>
      <w:pPr>
        <w:pStyle w:val="3"/>
        <w:pageBreakBefore w:val="0"/>
        <w:widowControl/>
        <w:kinsoku/>
        <w:wordWrap/>
        <w:overflowPunct/>
        <w:topLinePunct w:val="0"/>
        <w:bidi w:val="0"/>
        <w:adjustRightInd/>
        <w:spacing w:line="520" w:lineRule="exact"/>
        <w:ind w:left="0" w:firstLine="3092" w:firstLineChars="1100"/>
        <w:textAlignment w:val="auto"/>
        <w:rPr>
          <w:rFonts w:hint="eastAsia" w:ascii="宋体" w:hAnsi="宋体" w:eastAsia="宋体" w:cs="宋体"/>
          <w:b/>
          <w:color w:val="auto"/>
          <w:kern w:val="2"/>
          <w:sz w:val="28"/>
          <w:szCs w:val="28"/>
          <w:highlight w:val="none"/>
        </w:rPr>
      </w:pPr>
    </w:p>
    <w:p>
      <w:pPr>
        <w:pStyle w:val="3"/>
        <w:pageBreakBefore w:val="0"/>
        <w:widowControl/>
        <w:kinsoku/>
        <w:wordWrap/>
        <w:overflowPunct/>
        <w:topLinePunct w:val="0"/>
        <w:bidi w:val="0"/>
        <w:adjustRightInd/>
        <w:spacing w:line="520" w:lineRule="exact"/>
        <w:ind w:left="0" w:firstLine="3092" w:firstLineChars="1100"/>
        <w:textAlignment w:val="auto"/>
        <w:rPr>
          <w:rFonts w:hint="eastAsia" w:ascii="宋体" w:hAnsi="宋体" w:eastAsia="宋体" w:cs="宋体"/>
          <w:b/>
          <w:color w:val="auto"/>
          <w:kern w:val="2"/>
          <w:sz w:val="28"/>
          <w:szCs w:val="28"/>
          <w:highlight w:val="none"/>
        </w:rPr>
      </w:pPr>
    </w:p>
    <w:p>
      <w:pPr>
        <w:pStyle w:val="3"/>
        <w:pageBreakBefore w:val="0"/>
        <w:widowControl/>
        <w:kinsoku/>
        <w:wordWrap/>
        <w:overflowPunct/>
        <w:topLinePunct w:val="0"/>
        <w:bidi w:val="0"/>
        <w:adjustRightInd/>
        <w:spacing w:line="520" w:lineRule="exact"/>
        <w:ind w:left="0" w:firstLine="3092" w:firstLineChars="1100"/>
        <w:textAlignment w:val="auto"/>
        <w:rPr>
          <w:rFonts w:hint="eastAsia" w:ascii="宋体" w:hAnsi="宋体" w:eastAsia="宋体" w:cs="宋体"/>
          <w:b/>
          <w:color w:val="auto"/>
          <w:kern w:val="2"/>
          <w:sz w:val="28"/>
          <w:szCs w:val="28"/>
          <w:highlight w:val="none"/>
        </w:rPr>
      </w:pPr>
    </w:p>
    <w:p>
      <w:pPr>
        <w:pStyle w:val="3"/>
        <w:pageBreakBefore w:val="0"/>
        <w:widowControl/>
        <w:kinsoku/>
        <w:wordWrap/>
        <w:overflowPunct/>
        <w:topLinePunct w:val="0"/>
        <w:bidi w:val="0"/>
        <w:adjustRightInd/>
        <w:spacing w:line="520" w:lineRule="exact"/>
        <w:ind w:left="0" w:firstLine="3092" w:firstLineChars="1100"/>
        <w:textAlignment w:val="auto"/>
        <w:rPr>
          <w:rFonts w:hint="eastAsia" w:ascii="宋体" w:hAnsi="宋体" w:eastAsia="宋体" w:cs="宋体"/>
          <w:b/>
          <w:color w:val="auto"/>
          <w:kern w:val="2"/>
          <w:sz w:val="28"/>
          <w:szCs w:val="28"/>
          <w:highlight w:val="none"/>
        </w:rPr>
      </w:pPr>
    </w:p>
    <w:p>
      <w:pPr>
        <w:pageBreakBefore w:val="0"/>
        <w:kinsoku/>
        <w:wordWrap/>
        <w:overflowPunct/>
        <w:topLinePunct w:val="0"/>
        <w:bidi w:val="0"/>
        <w:adjustRightInd/>
        <w:spacing w:line="520" w:lineRule="exact"/>
        <w:textAlignment w:val="auto"/>
        <w:rPr>
          <w:rFonts w:hint="eastAsia" w:ascii="宋体" w:hAnsi="宋体" w:eastAsia="宋体" w:cs="宋体"/>
          <w:b/>
          <w:color w:val="auto"/>
          <w:kern w:val="2"/>
          <w:sz w:val="28"/>
          <w:szCs w:val="28"/>
          <w:highlight w:val="none"/>
        </w:rPr>
      </w:pPr>
    </w:p>
    <w:p>
      <w:pPr>
        <w:pageBreakBefore w:val="0"/>
        <w:kinsoku/>
        <w:wordWrap/>
        <w:overflowPunct/>
        <w:topLinePunct w:val="0"/>
        <w:bidi w:val="0"/>
        <w:adjustRightInd/>
        <w:spacing w:line="520" w:lineRule="exact"/>
        <w:textAlignment w:val="auto"/>
        <w:rPr>
          <w:rFonts w:hint="eastAsia" w:ascii="宋体" w:hAnsi="宋体" w:eastAsia="宋体" w:cs="宋体"/>
          <w:b/>
          <w:color w:val="auto"/>
          <w:kern w:val="2"/>
          <w:sz w:val="28"/>
          <w:szCs w:val="28"/>
          <w:highlight w:val="none"/>
        </w:rPr>
      </w:pPr>
    </w:p>
    <w:p>
      <w:pPr>
        <w:pageBreakBefore w:val="0"/>
        <w:kinsoku/>
        <w:wordWrap/>
        <w:overflowPunct/>
        <w:topLinePunct w:val="0"/>
        <w:bidi w:val="0"/>
        <w:adjustRightInd/>
        <w:spacing w:line="520" w:lineRule="exact"/>
        <w:textAlignment w:val="auto"/>
        <w:rPr>
          <w:rFonts w:hint="eastAsia" w:ascii="宋体" w:hAnsi="宋体" w:eastAsia="宋体" w:cs="宋体"/>
          <w:b/>
          <w:color w:val="auto"/>
          <w:kern w:val="2"/>
          <w:sz w:val="28"/>
          <w:szCs w:val="28"/>
          <w:highlight w:val="none"/>
        </w:rPr>
      </w:pPr>
    </w:p>
    <w:bookmarkEnd w:id="1"/>
    <w:bookmarkEnd w:id="2"/>
    <w:p>
      <w:pPr>
        <w:keepNext w:val="0"/>
        <w:keepLines w:val="0"/>
        <w:pageBreakBefore w:val="0"/>
        <w:widowControl w:val="0"/>
        <w:kinsoku/>
        <w:wordWrap/>
        <w:overflowPunct/>
        <w:topLinePunct w:val="0"/>
        <w:autoSpaceDE/>
        <w:autoSpaceDN/>
        <w:bidi w:val="0"/>
        <w:adjustRightInd/>
        <w:snapToGrid/>
        <w:spacing w:before="136" w:beforeLines="50" w:after="272" w:afterLines="100" w:line="520" w:lineRule="exact"/>
        <w:jc w:val="center"/>
        <w:textAlignment w:val="auto"/>
        <w:rPr>
          <w:rFonts w:hint="eastAsia" w:ascii="宋体" w:hAnsi="宋体" w:eastAsia="宋体" w:cs="宋体"/>
          <w:b/>
          <w:bCs/>
          <w:color w:val="auto"/>
          <w:sz w:val="28"/>
          <w:szCs w:val="28"/>
          <w:highlight w:val="none"/>
        </w:rPr>
      </w:pPr>
    </w:p>
    <w:sectPr>
      <w:footerReference r:id="rId7" w:type="default"/>
      <w:pgSz w:w="11906" w:h="16838"/>
      <w:pgMar w:top="1417" w:right="1134" w:bottom="1134" w:left="1701" w:header="851" w:footer="992"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华文隶书">
    <w:altName w:val="宋体"/>
    <w:panose1 w:val="0201080004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rPr>
                              <w:rFonts w:hint="eastAsia"/>
                            </w:rPr>
                          </w:pP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fPguc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h8+C5yQEAAJkDAAAOAAAAAAAAAAEAIAAAAB4BAABkcnMvZTJvRG9j&#10;LnhtbFBLBQYAAAAABgAGAFkBAABZBQAAAAA=&#10;">
              <v:fill on="f" focussize="0,0"/>
              <v:stroke on="f"/>
              <v:imagedata o:title=""/>
              <o:lock v:ext="edit" aspectratio="f"/>
              <v:textbox inset="0mm,0mm,0mm,0mm" style="mso-fit-shape-to-text:t;">
                <w:txbxContent>
                  <w:p>
                    <w:pPr>
                      <w:rPr>
                        <w:rFonts w:hint="eastAsia"/>
                      </w:rPr>
                    </w:pPr>
                  </w:p>
                </w:txbxContent>
              </v:textbox>
            </v:shape>
          </w:pict>
        </mc:Fallback>
      </mc:AlternateContent>
    </w:r>
  </w:p>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36</w:t>
                          </w:r>
                          <w:r>
                            <w:rPr>
                              <w:rFonts w:hint="eastAsia"/>
                              <w:sz w:val="18"/>
                              <w:lang w:eastAsia="zh-CN"/>
                            </w:rPr>
                            <w:fldChar w:fldCharType="end"/>
                          </w:r>
                          <w:r>
                            <w:rPr>
                              <w:rFonts w:hint="eastAsia"/>
                              <w:sz w:val="18"/>
                              <w:lang w:eastAsia="zh-CN"/>
                            </w:rPr>
                            <w:t xml:space="preserve"> 页</w:t>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Ux0jMk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1THSMyQEAAJkDAAAOAAAAAAAAAAEAIAAAAB4BAABkcnMvZTJvRG9j&#10;LnhtbFBLBQYAAAAABgAGAFkBAABZBQ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36</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ascii="楷体_GB2312" w:hAnsi="楷体_GB2312" w:eastAsia="楷体_GB2312"/>
        <w:sz w:val="18"/>
      </w:rPr>
    </w:pPr>
    <w:r>
      <w:rPr>
        <w:rFonts w:hint="eastAsia" w:ascii="华文隶书" w:hAnsi="华文隶书" w:eastAsia="华文隶书"/>
        <w:sz w:val="2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thinThickSmallGap" w:color="auto" w:sz="18" w:space="1"/>
      </w:pBdr>
      <w:jc w:val="both"/>
      <w:rPr>
        <w:rFonts w:hint="eastAsia" w:ascii="华文中宋" w:hAnsi="华文中宋" w:eastAsia="华文中宋"/>
        <w:sz w:val="21"/>
        <w:szCs w:val="21"/>
      </w:rPr>
    </w:pPr>
    <w:r>
      <w:rPr>
        <w:rFonts w:hint="eastAsia" w:ascii="华文中宋" w:hAnsi="华文中宋" w:eastAsia="华文中宋"/>
        <w:sz w:val="30"/>
        <w:szCs w:val="30"/>
      </w:rPr>
      <w:t>.</w:t>
    </w:r>
    <w:r>
      <w:rPr>
        <w:rFonts w:ascii="华文中宋" w:hAnsi="华文中宋" w:eastAsia="华文中宋"/>
        <w:sz w:val="21"/>
        <w:szCs w:val="21"/>
      </w:rPr>
      <w:t xml:space="preserve"> </w:t>
    </w:r>
    <w:r>
      <w:rPr>
        <w:rFonts w:ascii="华文中宋" w:hAnsi="华文中宋" w:eastAsia="华文中宋"/>
        <w:sz w:val="21"/>
        <w:szCs w:val="21"/>
      </w:rPr>
      <w:fldChar w:fldCharType="begin"/>
    </w:r>
    <w:r>
      <w:rPr>
        <w:rFonts w:ascii="华文中宋" w:hAnsi="华文中宋" w:eastAsia="华文中宋"/>
        <w:sz w:val="21"/>
        <w:szCs w:val="21"/>
      </w:rPr>
      <w:instrText xml:space="preserve"> PAGE </w:instrText>
    </w:r>
    <w:r>
      <w:rPr>
        <w:rFonts w:ascii="华文中宋" w:hAnsi="华文中宋" w:eastAsia="华文中宋"/>
        <w:sz w:val="21"/>
        <w:szCs w:val="21"/>
      </w:rPr>
      <w:fldChar w:fldCharType="separate"/>
    </w:r>
    <w:r>
      <w:rPr>
        <w:rFonts w:ascii="华文中宋" w:hAnsi="华文中宋" w:eastAsia="华文中宋"/>
        <w:sz w:val="21"/>
        <w:szCs w:val="21"/>
      </w:rPr>
      <w:t>7</w:t>
    </w:r>
    <w:r>
      <w:rPr>
        <w:rFonts w:ascii="华文中宋" w:hAnsi="华文中宋" w:eastAsia="华文中宋"/>
        <w:sz w:val="21"/>
        <w:szCs w:val="21"/>
      </w:rPr>
      <w:fldChar w:fldCharType="end"/>
    </w:r>
    <w:r>
      <w:rPr>
        <w:rFonts w:ascii="华文中宋" w:hAnsi="华文中宋" w:eastAsia="华文中宋"/>
        <w:sz w:val="21"/>
        <w:szCs w:val="21"/>
      </w:rPr>
      <w:t xml:space="preserve"> </w:t>
    </w:r>
    <w:r>
      <w:rPr>
        <w:rFonts w:hint="eastAsia" w:ascii="华文中宋" w:hAnsi="华文中宋" w:eastAsia="华文中宋"/>
        <w:sz w:val="30"/>
        <w:szCs w:val="30"/>
      </w:rPr>
      <w:t>.</w:t>
    </w:r>
    <w:r>
      <w:rPr>
        <w:rFonts w:hint="eastAsia" w:ascii="华文中宋" w:hAnsi="华文中宋" w:eastAsia="华文中宋"/>
        <w:sz w:val="21"/>
        <w:szCs w:val="21"/>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rPr>
        <w:rFonts w:hint="eastAsia" w:ascii="宋体" w:hAnsi="宋体" w:eastAsia="宋体" w:cs="宋体"/>
      </w:rPr>
    </w:pPr>
    <w:r>
      <w:rPr>
        <w:rFonts w:hint="eastAsia" w:ascii="宋体" w:hAnsi="宋体" w:eastAsia="宋体" w:cs="宋体"/>
        <w:sz w:val="18"/>
        <w:szCs w:val="18"/>
        <w:lang w:val="en-US" w:eastAsia="zh-CN"/>
      </w:rPr>
      <w:t>铜陵铜冠建安新型环保建材科技有限公司-招标文件</w:t>
    </w:r>
    <w:r>
      <w:rPr>
        <w:rFonts w:hint="eastAsia" w:ascii="宋体" w:hAnsi="宋体" w:eastAsia="宋体" w:cs="宋体"/>
        <w:sz w:val="18"/>
        <w:szCs w:val="18"/>
      </w:rPr>
      <w:t xml:space="preserve"> </w:t>
    </w:r>
    <w:r>
      <w:rPr>
        <w:rFonts w:hint="eastAsia" w:ascii="宋体" w:hAnsi="宋体" w:eastAsia="宋体" w:cs="宋体"/>
        <w:sz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87883D"/>
    <w:multiLevelType w:val="singleLevel"/>
    <w:tmpl w:val="8087883D"/>
    <w:lvl w:ilvl="0" w:tentative="0">
      <w:start w:val="1"/>
      <w:numFmt w:val="chineseCounting"/>
      <w:suff w:val="nothing"/>
      <w:lvlText w:val="%1、"/>
      <w:lvlJc w:val="left"/>
      <w:rPr>
        <w:rFonts w:hint="eastAsia"/>
      </w:rPr>
    </w:lvl>
  </w:abstractNum>
  <w:abstractNum w:abstractNumId="1">
    <w:nsid w:val="81C6C553"/>
    <w:multiLevelType w:val="singleLevel"/>
    <w:tmpl w:val="81C6C553"/>
    <w:lvl w:ilvl="0" w:tentative="0">
      <w:start w:val="1"/>
      <w:numFmt w:val="decimal"/>
      <w:suff w:val="nothing"/>
      <w:lvlText w:val="%1、"/>
      <w:lvlJc w:val="left"/>
    </w:lvl>
  </w:abstractNum>
  <w:abstractNum w:abstractNumId="2">
    <w:nsid w:val="93CF6307"/>
    <w:multiLevelType w:val="singleLevel"/>
    <w:tmpl w:val="93CF6307"/>
    <w:lvl w:ilvl="0" w:tentative="0">
      <w:start w:val="1"/>
      <w:numFmt w:val="decimal"/>
      <w:suff w:val="nothing"/>
      <w:lvlText w:val="%1、"/>
      <w:lvlJc w:val="left"/>
    </w:lvl>
  </w:abstractNum>
  <w:abstractNum w:abstractNumId="3">
    <w:nsid w:val="9FF17E1E"/>
    <w:multiLevelType w:val="singleLevel"/>
    <w:tmpl w:val="9FF17E1E"/>
    <w:lvl w:ilvl="0" w:tentative="0">
      <w:start w:val="1"/>
      <w:numFmt w:val="chineseCounting"/>
      <w:suff w:val="nothing"/>
      <w:lvlText w:val="%1、"/>
      <w:lvlJc w:val="left"/>
      <w:rPr>
        <w:rFonts w:hint="eastAsia"/>
      </w:rPr>
    </w:lvl>
  </w:abstractNum>
  <w:abstractNum w:abstractNumId="4">
    <w:nsid w:val="A6CF067A"/>
    <w:multiLevelType w:val="singleLevel"/>
    <w:tmpl w:val="A6CF067A"/>
    <w:lvl w:ilvl="0" w:tentative="0">
      <w:start w:val="1"/>
      <w:numFmt w:val="decimal"/>
      <w:suff w:val="nothing"/>
      <w:lvlText w:val="%1、"/>
      <w:lvlJc w:val="left"/>
    </w:lvl>
  </w:abstractNum>
  <w:abstractNum w:abstractNumId="5">
    <w:nsid w:val="AA5C9E4C"/>
    <w:multiLevelType w:val="singleLevel"/>
    <w:tmpl w:val="AA5C9E4C"/>
    <w:lvl w:ilvl="0" w:tentative="0">
      <w:start w:val="1"/>
      <w:numFmt w:val="decimal"/>
      <w:suff w:val="nothing"/>
      <w:lvlText w:val="%1、"/>
      <w:lvlJc w:val="left"/>
    </w:lvl>
  </w:abstractNum>
  <w:abstractNum w:abstractNumId="6">
    <w:nsid w:val="AAD6986C"/>
    <w:multiLevelType w:val="singleLevel"/>
    <w:tmpl w:val="AAD6986C"/>
    <w:lvl w:ilvl="0" w:tentative="0">
      <w:start w:val="1"/>
      <w:numFmt w:val="decimal"/>
      <w:suff w:val="nothing"/>
      <w:lvlText w:val="%1、"/>
      <w:lvlJc w:val="left"/>
    </w:lvl>
  </w:abstractNum>
  <w:abstractNum w:abstractNumId="7">
    <w:nsid w:val="AFA102BD"/>
    <w:multiLevelType w:val="singleLevel"/>
    <w:tmpl w:val="AFA102BD"/>
    <w:lvl w:ilvl="0" w:tentative="0">
      <w:start w:val="1"/>
      <w:numFmt w:val="decimal"/>
      <w:suff w:val="nothing"/>
      <w:lvlText w:val="%1、"/>
      <w:lvlJc w:val="left"/>
    </w:lvl>
  </w:abstractNum>
  <w:abstractNum w:abstractNumId="8">
    <w:nsid w:val="BE4063E5"/>
    <w:multiLevelType w:val="singleLevel"/>
    <w:tmpl w:val="BE4063E5"/>
    <w:lvl w:ilvl="0" w:tentative="0">
      <w:start w:val="1"/>
      <w:numFmt w:val="decimal"/>
      <w:suff w:val="nothing"/>
      <w:lvlText w:val="（%1）"/>
      <w:lvlJc w:val="left"/>
    </w:lvl>
  </w:abstractNum>
  <w:abstractNum w:abstractNumId="9">
    <w:nsid w:val="D2AE7BEC"/>
    <w:multiLevelType w:val="singleLevel"/>
    <w:tmpl w:val="D2AE7BEC"/>
    <w:lvl w:ilvl="0" w:tentative="0">
      <w:start w:val="1"/>
      <w:numFmt w:val="chineseCounting"/>
      <w:suff w:val="space"/>
      <w:lvlText w:val="第%1章"/>
      <w:lvlJc w:val="left"/>
      <w:rPr>
        <w:rFonts w:hint="eastAsia"/>
      </w:rPr>
    </w:lvl>
  </w:abstractNum>
  <w:abstractNum w:abstractNumId="10">
    <w:nsid w:val="00B42EFC"/>
    <w:multiLevelType w:val="singleLevel"/>
    <w:tmpl w:val="00B42EFC"/>
    <w:lvl w:ilvl="0" w:tentative="0">
      <w:start w:val="1"/>
      <w:numFmt w:val="decimal"/>
      <w:suff w:val="nothing"/>
      <w:lvlText w:val="（%1）"/>
      <w:lvlJc w:val="left"/>
    </w:lvl>
  </w:abstractNum>
  <w:abstractNum w:abstractNumId="11">
    <w:nsid w:val="14A7B440"/>
    <w:multiLevelType w:val="singleLevel"/>
    <w:tmpl w:val="14A7B440"/>
    <w:lvl w:ilvl="0" w:tentative="0">
      <w:start w:val="1"/>
      <w:numFmt w:val="chineseCounting"/>
      <w:suff w:val="nothing"/>
      <w:lvlText w:val="%1、"/>
      <w:lvlJc w:val="left"/>
      <w:rPr>
        <w:rFonts w:hint="eastAsia"/>
      </w:rPr>
    </w:lvl>
  </w:abstractNum>
  <w:abstractNum w:abstractNumId="12">
    <w:nsid w:val="1BE9A2AD"/>
    <w:multiLevelType w:val="singleLevel"/>
    <w:tmpl w:val="1BE9A2AD"/>
    <w:lvl w:ilvl="0" w:tentative="0">
      <w:start w:val="1"/>
      <w:numFmt w:val="decimal"/>
      <w:suff w:val="nothing"/>
      <w:lvlText w:val="（%1）"/>
      <w:lvlJc w:val="left"/>
    </w:lvl>
  </w:abstractNum>
  <w:abstractNum w:abstractNumId="13">
    <w:nsid w:val="23F2D3F6"/>
    <w:multiLevelType w:val="singleLevel"/>
    <w:tmpl w:val="23F2D3F6"/>
    <w:lvl w:ilvl="0" w:tentative="0">
      <w:start w:val="1"/>
      <w:numFmt w:val="chineseCounting"/>
      <w:suff w:val="nothing"/>
      <w:lvlText w:val="%1、"/>
      <w:lvlJc w:val="left"/>
      <w:rPr>
        <w:rFonts w:hint="eastAsia"/>
      </w:rPr>
    </w:lvl>
  </w:abstractNum>
  <w:abstractNum w:abstractNumId="14">
    <w:nsid w:val="25669D9F"/>
    <w:multiLevelType w:val="singleLevel"/>
    <w:tmpl w:val="25669D9F"/>
    <w:lvl w:ilvl="0" w:tentative="0">
      <w:start w:val="1"/>
      <w:numFmt w:val="decimal"/>
      <w:suff w:val="nothing"/>
      <w:lvlText w:val="%1、"/>
      <w:lvlJc w:val="left"/>
    </w:lvl>
  </w:abstractNum>
  <w:abstractNum w:abstractNumId="15">
    <w:nsid w:val="25FD86B6"/>
    <w:multiLevelType w:val="singleLevel"/>
    <w:tmpl w:val="25FD86B6"/>
    <w:lvl w:ilvl="0" w:tentative="0">
      <w:start w:val="1"/>
      <w:numFmt w:val="decimal"/>
      <w:suff w:val="nothing"/>
      <w:lvlText w:val="%1、"/>
      <w:lvlJc w:val="left"/>
    </w:lvl>
  </w:abstractNum>
  <w:abstractNum w:abstractNumId="16">
    <w:nsid w:val="2E328FE9"/>
    <w:multiLevelType w:val="singleLevel"/>
    <w:tmpl w:val="2E328FE9"/>
    <w:lvl w:ilvl="0" w:tentative="0">
      <w:start w:val="1"/>
      <w:numFmt w:val="decimal"/>
      <w:suff w:val="nothing"/>
      <w:lvlText w:val="%1、"/>
      <w:lvlJc w:val="left"/>
    </w:lvl>
  </w:abstractNum>
  <w:abstractNum w:abstractNumId="17">
    <w:nsid w:val="3DF1D5CF"/>
    <w:multiLevelType w:val="singleLevel"/>
    <w:tmpl w:val="3DF1D5CF"/>
    <w:lvl w:ilvl="0" w:tentative="0">
      <w:start w:val="1"/>
      <w:numFmt w:val="decimal"/>
      <w:suff w:val="nothing"/>
      <w:lvlText w:val="%1、"/>
      <w:lvlJc w:val="left"/>
    </w:lvl>
  </w:abstractNum>
  <w:abstractNum w:abstractNumId="18">
    <w:nsid w:val="42E30478"/>
    <w:multiLevelType w:val="singleLevel"/>
    <w:tmpl w:val="42E30478"/>
    <w:lvl w:ilvl="0" w:tentative="0">
      <w:start w:val="1"/>
      <w:numFmt w:val="decimal"/>
      <w:suff w:val="nothing"/>
      <w:lvlText w:val="%1、"/>
      <w:lvlJc w:val="left"/>
    </w:lvl>
  </w:abstractNum>
  <w:abstractNum w:abstractNumId="19">
    <w:nsid w:val="4A53AE7B"/>
    <w:multiLevelType w:val="singleLevel"/>
    <w:tmpl w:val="4A53AE7B"/>
    <w:lvl w:ilvl="0" w:tentative="0">
      <w:start w:val="1"/>
      <w:numFmt w:val="decimal"/>
      <w:suff w:val="nothing"/>
      <w:lvlText w:val="%1、"/>
      <w:lvlJc w:val="left"/>
    </w:lvl>
  </w:abstractNum>
  <w:abstractNum w:abstractNumId="20">
    <w:nsid w:val="6BEAC292"/>
    <w:multiLevelType w:val="singleLevel"/>
    <w:tmpl w:val="6BEAC292"/>
    <w:lvl w:ilvl="0" w:tentative="0">
      <w:start w:val="1"/>
      <w:numFmt w:val="decimal"/>
      <w:suff w:val="nothing"/>
      <w:lvlText w:val="（%1）"/>
      <w:lvlJc w:val="left"/>
    </w:lvl>
  </w:abstractNum>
  <w:num w:numId="1">
    <w:abstractNumId w:val="9"/>
  </w:num>
  <w:num w:numId="2">
    <w:abstractNumId w:val="3"/>
  </w:num>
  <w:num w:numId="3">
    <w:abstractNumId w:val="5"/>
  </w:num>
  <w:num w:numId="4">
    <w:abstractNumId w:val="20"/>
  </w:num>
  <w:num w:numId="5">
    <w:abstractNumId w:val="10"/>
  </w:num>
  <w:num w:numId="6">
    <w:abstractNumId w:val="2"/>
  </w:num>
  <w:num w:numId="7">
    <w:abstractNumId w:val="6"/>
  </w:num>
  <w:num w:numId="8">
    <w:abstractNumId w:val="13"/>
  </w:num>
  <w:num w:numId="9">
    <w:abstractNumId w:val="18"/>
  </w:num>
  <w:num w:numId="10">
    <w:abstractNumId w:val="16"/>
  </w:num>
  <w:num w:numId="11">
    <w:abstractNumId w:val="0"/>
  </w:num>
  <w:num w:numId="12">
    <w:abstractNumId w:val="7"/>
  </w:num>
  <w:num w:numId="13">
    <w:abstractNumId w:val="14"/>
  </w:num>
  <w:num w:numId="14">
    <w:abstractNumId w:val="17"/>
  </w:num>
  <w:num w:numId="15">
    <w:abstractNumId w:val="15"/>
  </w:num>
  <w:num w:numId="16">
    <w:abstractNumId w:val="19"/>
  </w:num>
  <w:num w:numId="17">
    <w:abstractNumId w:val="11"/>
  </w:num>
  <w:num w:numId="18">
    <w:abstractNumId w:val="1"/>
  </w:num>
  <w:num w:numId="19">
    <w:abstractNumId w:val="4"/>
  </w:num>
  <w:num w:numId="20">
    <w:abstractNumId w:val="1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303"/>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B23E2"/>
    <w:rsid w:val="00161E86"/>
    <w:rsid w:val="00191D76"/>
    <w:rsid w:val="002F68C0"/>
    <w:rsid w:val="004454C3"/>
    <w:rsid w:val="00466540"/>
    <w:rsid w:val="00497F01"/>
    <w:rsid w:val="00524695"/>
    <w:rsid w:val="005A3913"/>
    <w:rsid w:val="00800DB6"/>
    <w:rsid w:val="00814EB2"/>
    <w:rsid w:val="00B2175E"/>
    <w:rsid w:val="00C06C7C"/>
    <w:rsid w:val="00C61FBD"/>
    <w:rsid w:val="00EA26EF"/>
    <w:rsid w:val="02EC73E4"/>
    <w:rsid w:val="035A456A"/>
    <w:rsid w:val="058A0C50"/>
    <w:rsid w:val="0A3F6DE0"/>
    <w:rsid w:val="0D062667"/>
    <w:rsid w:val="0F274AD6"/>
    <w:rsid w:val="0FC81C7E"/>
    <w:rsid w:val="107A2C77"/>
    <w:rsid w:val="13E14490"/>
    <w:rsid w:val="15A14969"/>
    <w:rsid w:val="173F27A7"/>
    <w:rsid w:val="18991043"/>
    <w:rsid w:val="18E208DA"/>
    <w:rsid w:val="18EC15D5"/>
    <w:rsid w:val="1AE11AE9"/>
    <w:rsid w:val="1C445972"/>
    <w:rsid w:val="1CCF3205"/>
    <w:rsid w:val="201F68FC"/>
    <w:rsid w:val="22273140"/>
    <w:rsid w:val="225F0C2D"/>
    <w:rsid w:val="236B1C7B"/>
    <w:rsid w:val="27B64D34"/>
    <w:rsid w:val="299D2312"/>
    <w:rsid w:val="29AC7ECF"/>
    <w:rsid w:val="2C9726E8"/>
    <w:rsid w:val="2E6B7D6E"/>
    <w:rsid w:val="3219215E"/>
    <w:rsid w:val="32730AA6"/>
    <w:rsid w:val="32F309D2"/>
    <w:rsid w:val="332E0E03"/>
    <w:rsid w:val="3469767C"/>
    <w:rsid w:val="36856F6C"/>
    <w:rsid w:val="379D78E1"/>
    <w:rsid w:val="3B622DC5"/>
    <w:rsid w:val="3C49169E"/>
    <w:rsid w:val="3DC03EDE"/>
    <w:rsid w:val="3E145F08"/>
    <w:rsid w:val="3E362AC5"/>
    <w:rsid w:val="407836FF"/>
    <w:rsid w:val="42AE66A5"/>
    <w:rsid w:val="42E73D9C"/>
    <w:rsid w:val="437A06DE"/>
    <w:rsid w:val="453B29D1"/>
    <w:rsid w:val="45B8455F"/>
    <w:rsid w:val="45CB1ED6"/>
    <w:rsid w:val="48384793"/>
    <w:rsid w:val="48AC0715"/>
    <w:rsid w:val="49C574DA"/>
    <w:rsid w:val="4AF1223E"/>
    <w:rsid w:val="4C084120"/>
    <w:rsid w:val="4C8D7683"/>
    <w:rsid w:val="4CDA2DDD"/>
    <w:rsid w:val="4D4A5675"/>
    <w:rsid w:val="4FA97EFE"/>
    <w:rsid w:val="4FCD5BB3"/>
    <w:rsid w:val="4FFD7B08"/>
    <w:rsid w:val="502B4C0D"/>
    <w:rsid w:val="508C2F57"/>
    <w:rsid w:val="52230936"/>
    <w:rsid w:val="5741483A"/>
    <w:rsid w:val="590C7519"/>
    <w:rsid w:val="59481493"/>
    <w:rsid w:val="5A72502C"/>
    <w:rsid w:val="5E784A22"/>
    <w:rsid w:val="5EF86132"/>
    <w:rsid w:val="5F300E67"/>
    <w:rsid w:val="5FA03EEE"/>
    <w:rsid w:val="609A54C7"/>
    <w:rsid w:val="69163AFA"/>
    <w:rsid w:val="6A0665B3"/>
    <w:rsid w:val="6AF529DD"/>
    <w:rsid w:val="6B9612D7"/>
    <w:rsid w:val="6C294D95"/>
    <w:rsid w:val="6D4A7B09"/>
    <w:rsid w:val="6EED2C22"/>
    <w:rsid w:val="707C5AEC"/>
    <w:rsid w:val="72C720B6"/>
    <w:rsid w:val="73162C91"/>
    <w:rsid w:val="73C063DF"/>
    <w:rsid w:val="7482765D"/>
    <w:rsid w:val="76003C6C"/>
    <w:rsid w:val="774B7F46"/>
    <w:rsid w:val="781907C7"/>
    <w:rsid w:val="7954725D"/>
    <w:rsid w:val="7A9475A2"/>
    <w:rsid w:val="7A9D2B51"/>
    <w:rsid w:val="7C705461"/>
    <w:rsid w:val="7D003624"/>
    <w:rsid w:val="7D9C089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qFormat="1" w:unhideWhenUsed="0" w:uiPriority="0" w:semiHidden="0"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9"/>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38"/>
    <w:qFormat/>
    <w:uiPriority w:val="0"/>
    <w:pPr>
      <w:keepNext/>
      <w:keepLines/>
      <w:spacing w:before="260" w:beforeLines="0" w:beforeAutospacing="0" w:after="260" w:afterLines="0" w:afterAutospacing="0" w:line="413" w:lineRule="auto"/>
      <w:outlineLvl w:val="2"/>
    </w:pPr>
    <w:rPr>
      <w:b/>
      <w:kern w:val="0"/>
      <w:sz w:val="32"/>
      <w:szCs w:val="20"/>
    </w:rPr>
  </w:style>
  <w:style w:type="paragraph" w:styleId="5">
    <w:name w:val="heading 4"/>
    <w:basedOn w:val="1"/>
    <w:next w:val="1"/>
    <w:qFormat/>
    <w:uiPriority w:val="0"/>
    <w:pPr>
      <w:keepNext/>
      <w:jc w:val="center"/>
      <w:outlineLvl w:val="3"/>
    </w:pPr>
    <w:rPr>
      <w:rFonts w:ascii="仿宋_GB2312" w:eastAsia="仿宋_GB2312"/>
      <w:sz w:val="28"/>
    </w:rPr>
  </w:style>
  <w:style w:type="character" w:default="1" w:styleId="23">
    <w:name w:val="Default Paragraph Font"/>
    <w:qFormat/>
    <w:uiPriority w:val="0"/>
  </w:style>
  <w:style w:type="table" w:default="1" w:styleId="21">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List 3"/>
    <w:basedOn w:val="1"/>
    <w:qFormat/>
    <w:uiPriority w:val="0"/>
    <w:pPr>
      <w:ind w:left="100" w:leftChars="400" w:hanging="200" w:hangingChars="200"/>
    </w:pPr>
  </w:style>
  <w:style w:type="paragraph" w:styleId="7">
    <w:name w:val="toc 7"/>
    <w:basedOn w:val="1"/>
    <w:next w:val="1"/>
    <w:qFormat/>
    <w:uiPriority w:val="0"/>
    <w:pPr>
      <w:ind w:left="2520"/>
    </w:pPr>
  </w:style>
  <w:style w:type="paragraph" w:styleId="8">
    <w:name w:val="Normal Indent"/>
    <w:basedOn w:val="1"/>
    <w:qFormat/>
    <w:uiPriority w:val="0"/>
    <w:pPr>
      <w:adjustRightInd w:val="0"/>
      <w:spacing w:line="360" w:lineRule="atLeast"/>
      <w:ind w:firstLine="420"/>
      <w:textAlignment w:val="baseline"/>
    </w:pPr>
    <w:rPr>
      <w:szCs w:val="20"/>
    </w:rPr>
  </w:style>
  <w:style w:type="paragraph" w:styleId="9">
    <w:name w:val="Body Text"/>
    <w:basedOn w:val="1"/>
    <w:qFormat/>
    <w:uiPriority w:val="0"/>
    <w:pPr>
      <w:pBdr>
        <w:top w:val="single" w:color="auto" w:sz="4" w:space="1"/>
      </w:pBdr>
    </w:pPr>
    <w:rPr>
      <w:b/>
      <w:bCs/>
    </w:rPr>
  </w:style>
  <w:style w:type="paragraph" w:styleId="10">
    <w:name w:val="List 2"/>
    <w:basedOn w:val="1"/>
    <w:qFormat/>
    <w:uiPriority w:val="0"/>
    <w:pPr>
      <w:ind w:left="100" w:leftChars="200" w:hanging="200" w:hangingChars="200"/>
    </w:pPr>
  </w:style>
  <w:style w:type="paragraph" w:styleId="11">
    <w:name w:val="toc 3"/>
    <w:basedOn w:val="1"/>
    <w:next w:val="1"/>
    <w:qFormat/>
    <w:uiPriority w:val="0"/>
    <w:pPr>
      <w:ind w:left="840" w:leftChars="400"/>
    </w:pPr>
  </w:style>
  <w:style w:type="paragraph" w:styleId="12">
    <w:name w:val="Plain Text"/>
    <w:basedOn w:val="1"/>
    <w:link w:val="37"/>
    <w:qFormat/>
    <w:uiPriority w:val="0"/>
    <w:rPr>
      <w:rFonts w:ascii="宋体" w:hAnsi="Courier New" w:eastAsia="宋体"/>
      <w:kern w:val="2"/>
      <w:sz w:val="21"/>
      <w:lang w:val="en-US" w:eastAsia="zh-CN" w:bidi="ar-SA"/>
    </w:rPr>
  </w:style>
  <w:style w:type="paragraph" w:styleId="13">
    <w:name w:val="Body Text Indent 2"/>
    <w:basedOn w:val="1"/>
    <w:link w:val="33"/>
    <w:qFormat/>
    <w:uiPriority w:val="0"/>
    <w:pPr>
      <w:spacing w:after="120" w:afterLines="0" w:line="480" w:lineRule="auto"/>
      <w:ind w:left="420" w:leftChars="200" w:firstLine="200" w:firstLineChars="200"/>
    </w:pPr>
    <w:rPr>
      <w:rFonts w:eastAsia="仿宋_GB2312"/>
      <w:kern w:val="2"/>
      <w:sz w:val="28"/>
      <w:szCs w:val="24"/>
      <w:lang w:val="en-US" w:eastAsia="zh-CN" w:bidi="ar-SA"/>
    </w:rPr>
  </w:style>
  <w:style w:type="paragraph" w:styleId="14">
    <w:name w:val="Balloon Text"/>
    <w:basedOn w:val="1"/>
    <w:qFormat/>
    <w:uiPriority w:val="0"/>
    <w:rPr>
      <w:sz w:val="18"/>
      <w:szCs w:val="18"/>
    </w:rPr>
  </w:style>
  <w:style w:type="paragraph" w:styleId="15">
    <w:name w:val="footer"/>
    <w:basedOn w:val="1"/>
    <w:link w:val="32"/>
    <w:qFormat/>
    <w:uiPriority w:val="99"/>
    <w:pPr>
      <w:tabs>
        <w:tab w:val="center" w:pos="4153"/>
        <w:tab w:val="right" w:pos="8306"/>
      </w:tabs>
      <w:snapToGrid w:val="0"/>
      <w:jc w:val="left"/>
    </w:pPr>
    <w:rPr>
      <w:sz w:val="18"/>
      <w:szCs w:val="18"/>
    </w:rPr>
  </w:style>
  <w:style w:type="paragraph" w:styleId="16">
    <w:name w:val="header"/>
    <w:basedOn w:val="1"/>
    <w:link w:val="34"/>
    <w:qFormat/>
    <w:uiPriority w:val="99"/>
    <w:pPr>
      <w:widowControl/>
      <w:pBdr>
        <w:bottom w:val="single" w:color="auto" w:sz="6" w:space="1"/>
      </w:pBdr>
      <w:tabs>
        <w:tab w:val="center" w:pos="4153"/>
        <w:tab w:val="right" w:pos="8306"/>
      </w:tabs>
      <w:snapToGrid w:val="0"/>
      <w:jc w:val="center"/>
    </w:pPr>
    <w:rPr>
      <w:kern w:val="0"/>
      <w:sz w:val="18"/>
      <w:szCs w:val="20"/>
    </w:rPr>
  </w:style>
  <w:style w:type="paragraph" w:styleId="17">
    <w:name w:val="toc 4"/>
    <w:basedOn w:val="1"/>
    <w:next w:val="1"/>
    <w:qFormat/>
    <w:uiPriority w:val="0"/>
    <w:pPr>
      <w:ind w:left="1260" w:leftChars="600"/>
    </w:pPr>
  </w:style>
  <w:style w:type="paragraph" w:styleId="18">
    <w:name w:val="toc 2"/>
    <w:basedOn w:val="1"/>
    <w:next w:val="1"/>
    <w:qFormat/>
    <w:uiPriority w:val="0"/>
    <w:pPr>
      <w:ind w:left="420" w:leftChars="200"/>
    </w:pPr>
  </w:style>
  <w:style w:type="paragraph" w:styleId="19">
    <w:name w:val="List 4"/>
    <w:basedOn w:val="1"/>
    <w:qFormat/>
    <w:uiPriority w:val="0"/>
    <w:pPr>
      <w:ind w:left="100" w:leftChars="600" w:hanging="200" w:hangingChars="200"/>
    </w:pPr>
  </w:style>
  <w:style w:type="paragraph" w:styleId="20">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table" w:styleId="22">
    <w:name w:val="Table Grid"/>
    <w:basedOn w:val="2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qFormat/>
    <w:uiPriority w:val="0"/>
  </w:style>
  <w:style w:type="character" w:styleId="25">
    <w:name w:val="Hyperlink"/>
    <w:qFormat/>
    <w:uiPriority w:val="0"/>
    <w:rPr>
      <w:rFonts w:eastAsia="宋体"/>
      <w:color w:val="0000FF"/>
      <w:u w:val="single"/>
    </w:rPr>
  </w:style>
  <w:style w:type="paragraph" w:customStyle="1" w:styleId="26">
    <w:name w:val="样式 楷体_GB2312 小四 首行缩进:  0.8 厘米 行距: 固定值 28 磅"/>
    <w:basedOn w:val="1"/>
    <w:qFormat/>
    <w:uiPriority w:val="0"/>
    <w:pPr>
      <w:jc w:val="center"/>
    </w:pPr>
    <w:rPr>
      <w:b/>
      <w:bCs/>
      <w:sz w:val="30"/>
      <w:szCs w:val="21"/>
    </w:rPr>
  </w:style>
  <w:style w:type="paragraph" w:customStyle="1" w:styleId="27">
    <w:name w:val="列出段落"/>
    <w:basedOn w:val="1"/>
    <w:qFormat/>
    <w:uiPriority w:val="0"/>
    <w:pPr>
      <w:keepNext w:val="0"/>
      <w:keepLines w:val="0"/>
      <w:widowControl w:val="0"/>
      <w:suppressLineNumbers w:val="0"/>
      <w:spacing w:before="100" w:beforeAutospacing="1" w:after="100" w:afterAutospacing="1" w:line="360" w:lineRule="auto"/>
      <w:ind w:firstLine="420" w:firstLineChars="200"/>
      <w:jc w:val="both"/>
    </w:pPr>
    <w:rPr>
      <w:rFonts w:hint="default" w:ascii="Times New Roman" w:hAnsi="Times New Roman" w:cs="Times New Roman"/>
      <w:kern w:val="2"/>
      <w:sz w:val="21"/>
      <w:szCs w:val="21"/>
      <w:lang w:val="en-US" w:eastAsia="zh-CN" w:bidi="ar"/>
    </w:rPr>
  </w:style>
  <w:style w:type="paragraph" w:customStyle="1" w:styleId="28">
    <w:name w:val="简单回函地址"/>
    <w:basedOn w:val="1"/>
    <w:qFormat/>
    <w:uiPriority w:val="0"/>
  </w:style>
  <w:style w:type="paragraph" w:styleId="29">
    <w:name w:val="No Spacing"/>
    <w:link w:val="35"/>
    <w:qFormat/>
    <w:uiPriority w:val="1"/>
    <w:rPr>
      <w:rFonts w:ascii="Calibri" w:hAnsi="Calibri" w:eastAsia="宋体" w:cs="Times New Roman"/>
      <w:sz w:val="22"/>
      <w:szCs w:val="22"/>
      <w:lang w:val="en-US" w:eastAsia="zh-CN" w:bidi="ar-SA"/>
    </w:rPr>
  </w:style>
  <w:style w:type="paragraph" w:customStyle="1" w:styleId="30">
    <w:name w:val="纯文本1"/>
    <w:basedOn w:val="1"/>
    <w:qFormat/>
    <w:uiPriority w:val="0"/>
    <w:pPr>
      <w:adjustRightInd w:val="0"/>
      <w:snapToGrid w:val="0"/>
      <w:spacing w:line="360" w:lineRule="auto"/>
      <w:ind w:firstLine="560"/>
      <w:jc w:val="left"/>
    </w:pPr>
    <w:rPr>
      <w:rFonts w:ascii="宋体" w:hAnsi="宋体"/>
      <w:kern w:val="0"/>
      <w:sz w:val="24"/>
      <w:szCs w:val="24"/>
    </w:rPr>
  </w:style>
  <w:style w:type="character" w:customStyle="1" w:styleId="31">
    <w:name w:val="标题 2 Char"/>
    <w:qFormat/>
    <w:uiPriority w:val="0"/>
    <w:rPr>
      <w:rFonts w:ascii="宋体" w:hAnsi="宋体" w:eastAsia="宋体"/>
      <w:b/>
      <w:sz w:val="30"/>
      <w:szCs w:val="30"/>
      <w:lang w:val="en-US" w:eastAsia="zh-CN" w:bidi="ar-SA"/>
    </w:rPr>
  </w:style>
  <w:style w:type="character" w:customStyle="1" w:styleId="32">
    <w:name w:val="页脚 Char"/>
    <w:link w:val="15"/>
    <w:qFormat/>
    <w:uiPriority w:val="99"/>
    <w:rPr>
      <w:kern w:val="2"/>
      <w:sz w:val="18"/>
      <w:szCs w:val="18"/>
    </w:rPr>
  </w:style>
  <w:style w:type="character" w:customStyle="1" w:styleId="33">
    <w:name w:val="正文文本缩进 2 Char"/>
    <w:link w:val="13"/>
    <w:qFormat/>
    <w:uiPriority w:val="0"/>
    <w:rPr>
      <w:rFonts w:eastAsia="仿宋_GB2312"/>
      <w:kern w:val="2"/>
      <w:sz w:val="28"/>
      <w:szCs w:val="24"/>
      <w:lang w:val="en-US" w:eastAsia="zh-CN" w:bidi="ar-SA"/>
    </w:rPr>
  </w:style>
  <w:style w:type="character" w:customStyle="1" w:styleId="34">
    <w:name w:val="页眉 Char"/>
    <w:link w:val="16"/>
    <w:qFormat/>
    <w:uiPriority w:val="99"/>
    <w:rPr>
      <w:sz w:val="18"/>
    </w:rPr>
  </w:style>
  <w:style w:type="character" w:customStyle="1" w:styleId="35">
    <w:name w:val="无间隔 Char"/>
    <w:link w:val="29"/>
    <w:qFormat/>
    <w:uiPriority w:val="1"/>
    <w:rPr>
      <w:rFonts w:ascii="Calibri" w:hAnsi="Calibri"/>
      <w:sz w:val="22"/>
      <w:szCs w:val="22"/>
      <w:lang w:val="en-US" w:eastAsia="zh-CN" w:bidi="ar-SA"/>
    </w:rPr>
  </w:style>
  <w:style w:type="character" w:customStyle="1" w:styleId="36">
    <w:name w:val="标题 1 Char"/>
    <w:link w:val="2"/>
    <w:qFormat/>
    <w:uiPriority w:val="9"/>
    <w:rPr>
      <w:b/>
      <w:bCs/>
      <w:kern w:val="44"/>
      <w:sz w:val="44"/>
      <w:szCs w:val="44"/>
    </w:rPr>
  </w:style>
  <w:style w:type="character" w:customStyle="1" w:styleId="37">
    <w:name w:val="纯文本 Char"/>
    <w:link w:val="12"/>
    <w:qFormat/>
    <w:uiPriority w:val="0"/>
    <w:rPr>
      <w:rFonts w:ascii="宋体" w:hAnsi="Courier New" w:eastAsia="宋体"/>
      <w:kern w:val="2"/>
      <w:sz w:val="21"/>
      <w:lang w:val="en-US" w:eastAsia="zh-CN" w:bidi="ar-SA"/>
    </w:rPr>
  </w:style>
  <w:style w:type="character" w:customStyle="1" w:styleId="38">
    <w:name w:val="标题 3 Char"/>
    <w:link w:val="4"/>
    <w:qFormat/>
    <w:uiPriority w:val="0"/>
    <w:rPr>
      <w:b/>
      <w:sz w:val="32"/>
    </w:rPr>
  </w:style>
  <w:style w:type="character" w:customStyle="1" w:styleId="39">
    <w:name w:val="t_tag"/>
    <w:basedOn w:val="23"/>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acsc</Company>
  <Pages>1</Pages>
  <Words>1808</Words>
  <Characters>10309</Characters>
  <Lines>1</Lines>
  <Paragraphs>1</Paragraphs>
  <TotalTime>1</TotalTime>
  <ScaleCrop>false</ScaleCrop>
  <LinksUpToDate>false</LinksUpToDate>
  <CharactersWithSpaces>12093</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2017-01-11T05:59:00Z</dcterms:created>
  <dc:creator>yorkbay</dc:creator>
  <cp:lastModifiedBy>Administrator</cp:lastModifiedBy>
  <cp:lastPrinted>2016-05-24T02:41:00Z</cp:lastPrinted>
  <dcterms:modified xsi:type="dcterms:W3CDTF">2020-12-18T02:05:55Z</dcterms:modified>
  <dc:title>XXXXXX办公综合楼</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