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w:t>
      </w:r>
      <w:r>
        <w:rPr>
          <w:rFonts w:hint="eastAsia" w:ascii="宋体" w:hAnsi="宋体" w:cs="宋体"/>
          <w:b/>
          <w:bCs/>
          <w:color w:val="auto"/>
          <w:sz w:val="44"/>
          <w:szCs w:val="44"/>
          <w:u w:val="single"/>
          <w:lang w:eastAsia="zh-CN"/>
        </w:rPr>
        <w:t>池州书香苑</w:t>
      </w:r>
      <w:r>
        <w:rPr>
          <w:rFonts w:hint="eastAsia" w:ascii="宋体" w:hAnsi="宋体" w:cs="宋体"/>
          <w:b/>
          <w:bCs/>
          <w:sz w:val="44"/>
          <w:szCs w:val="44"/>
          <w:u w:val="single"/>
        </w:rPr>
        <w:t>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color w:val="auto"/>
          <w:sz w:val="32"/>
          <w:szCs w:val="32"/>
          <w:u w:val="single"/>
          <w:lang w:val="en-US" w:eastAsia="zh-CN"/>
        </w:rPr>
        <w:t>021</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color w:val="auto"/>
          <w:sz w:val="32"/>
          <w:szCs w:val="32"/>
          <w:u w:val="single"/>
        </w:rPr>
        <w:t>2020年12月1</w:t>
      </w:r>
      <w:r>
        <w:rPr>
          <w:rFonts w:hint="eastAsia" w:ascii="仿宋" w:hAnsi="仿宋" w:eastAsia="仿宋" w:cs="仿宋_GB2312"/>
          <w:b/>
          <w:bCs/>
          <w:color w:val="auto"/>
          <w:sz w:val="32"/>
          <w:szCs w:val="32"/>
          <w:u w:val="single"/>
          <w:lang w:val="en-US" w:eastAsia="zh-CN"/>
        </w:rPr>
        <w:t>1</w:t>
      </w:r>
      <w:r>
        <w:rPr>
          <w:rFonts w:hint="eastAsia" w:ascii="仿宋" w:hAnsi="仿宋" w:eastAsia="仿宋" w:cs="仿宋_GB2312"/>
          <w:b/>
          <w:bCs/>
          <w:color w:val="auto"/>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毛文文（15256639761）、黄赟（18656211500）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color w:val="auto"/>
          <w:sz w:val="28"/>
          <w:szCs w:val="28"/>
          <w:u w:val="single"/>
        </w:rPr>
        <w:t>2020年12月1</w:t>
      </w:r>
      <w:r>
        <w:rPr>
          <w:rFonts w:hint="eastAsia" w:ascii="仿宋" w:hAnsi="仿宋" w:eastAsia="仿宋" w:cs="仿宋_GB2312"/>
          <w:color w:val="auto"/>
          <w:sz w:val="28"/>
          <w:szCs w:val="28"/>
          <w:u w:val="single"/>
          <w:lang w:val="en-US" w:eastAsia="zh-CN"/>
        </w:rPr>
        <w:t>1</w:t>
      </w:r>
      <w:bookmarkStart w:id="0" w:name="_GoBack"/>
      <w:bookmarkEnd w:id="0"/>
      <w:r>
        <w:rPr>
          <w:rFonts w:hint="eastAsia" w:ascii="仿宋" w:hAnsi="仿宋" w:eastAsia="仿宋" w:cs="仿宋_GB2312"/>
          <w:color w:val="auto"/>
          <w:sz w:val="28"/>
          <w:szCs w:val="28"/>
          <w:u w:val="single"/>
        </w:rPr>
        <w:t>日</w:t>
      </w:r>
    </w:p>
    <w:p>
      <w:pPr>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2、投标截止时间：</w:t>
      </w:r>
      <w:r>
        <w:rPr>
          <w:rFonts w:hint="eastAsia" w:ascii="仿宋" w:hAnsi="仿宋" w:eastAsia="仿宋" w:cs="仿宋_GB2312"/>
          <w:color w:val="auto"/>
          <w:sz w:val="28"/>
          <w:szCs w:val="28"/>
          <w:u w:val="single"/>
        </w:rPr>
        <w:t>2020年12月1</w:t>
      </w:r>
      <w:r>
        <w:rPr>
          <w:rFonts w:hint="eastAsia" w:ascii="仿宋" w:hAnsi="仿宋" w:eastAsia="仿宋" w:cs="仿宋_GB2312"/>
          <w:color w:val="auto"/>
          <w:sz w:val="28"/>
          <w:szCs w:val="28"/>
          <w:u w:val="single"/>
          <w:lang w:val="en-US" w:eastAsia="zh-CN"/>
        </w:rPr>
        <w:t>6</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5、开标时间：</w:t>
      </w:r>
      <w:r>
        <w:rPr>
          <w:rFonts w:hint="eastAsia" w:ascii="仿宋" w:hAnsi="仿宋" w:eastAsia="仿宋" w:cs="仿宋_GB2312"/>
          <w:color w:val="auto"/>
          <w:sz w:val="28"/>
          <w:szCs w:val="28"/>
          <w:u w:val="single"/>
        </w:rPr>
        <w:t>2020年12月1</w:t>
      </w:r>
      <w:r>
        <w:rPr>
          <w:rFonts w:hint="eastAsia" w:ascii="仿宋" w:hAnsi="仿宋" w:eastAsia="仿宋" w:cs="仿宋_GB2312"/>
          <w:color w:val="auto"/>
          <w:sz w:val="28"/>
          <w:szCs w:val="28"/>
          <w:u w:val="single"/>
          <w:lang w:val="en-US" w:eastAsia="zh-CN"/>
        </w:rPr>
        <w:t>6</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10000m³</w:t>
      </w:r>
      <w:r>
        <w:rPr>
          <w:rFonts w:hint="eastAsia" w:ascii="仿宋" w:hAnsi="仿宋" w:eastAsia="仿宋" w:cs="仿宋_GB2312"/>
          <w:sz w:val="28"/>
          <w:szCs w:val="28"/>
          <w:u w:val="single"/>
        </w:rPr>
        <w:t xml:space="preserve">商品混凝土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2020年12月1</w:t>
      </w:r>
      <w:r>
        <w:rPr>
          <w:rFonts w:hint="eastAsia" w:ascii="仿宋_GB2312" w:hAnsi="仿宋_GB2312" w:eastAsia="仿宋_GB2312" w:cs="仿宋_GB2312"/>
          <w:sz w:val="28"/>
          <w:szCs w:val="28"/>
          <w:u w:val="single"/>
          <w:lang w:val="en-US" w:eastAsia="zh-CN"/>
        </w:rPr>
        <w:t>5</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hint="eastAsia"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毛文文（15256639761）</w:t>
      </w:r>
    </w:p>
    <w:p>
      <w:pPr>
        <w:ind w:firstLine="640" w:firstLineChars="200"/>
        <w:rPr>
          <w:rFonts w:hint="eastAsia" w:ascii="仿宋" w:hAnsi="仿宋" w:eastAsia="仿宋" w:cs="仿宋_GB2312"/>
          <w:sz w:val="32"/>
          <w:szCs w:val="32"/>
          <w:u w:val="single"/>
        </w:rPr>
      </w:pPr>
    </w:p>
    <w:p>
      <w:pPr>
        <w:ind w:firstLine="640" w:firstLineChars="200"/>
        <w:rPr>
          <w:rFonts w:hint="eastAsia" w:ascii="仿宋" w:hAnsi="仿宋" w:eastAsia="仿宋" w:cs="仿宋_GB2312"/>
          <w:sz w:val="32"/>
          <w:szCs w:val="32"/>
          <w:u w:val="single"/>
        </w:rPr>
      </w:pPr>
    </w:p>
    <w:p>
      <w:pPr>
        <w:ind w:firstLine="640" w:firstLineChars="200"/>
        <w:rPr>
          <w:rFonts w:hint="eastAsia" w:ascii="仿宋" w:hAnsi="仿宋" w:eastAsia="仿宋" w:cs="仿宋_GB2312"/>
          <w:sz w:val="32"/>
          <w:szCs w:val="32"/>
          <w:u w:val="single"/>
        </w:rPr>
      </w:pPr>
    </w:p>
    <w:p>
      <w:pPr>
        <w:ind w:firstLine="640" w:firstLineChars="200"/>
        <w:rPr>
          <w:rFonts w:hint="eastAsia" w:ascii="仿宋" w:hAnsi="仿宋" w:eastAsia="仿宋" w:cs="仿宋_GB2312"/>
          <w:sz w:val="32"/>
          <w:szCs w:val="32"/>
          <w:u w:val="single"/>
        </w:rPr>
      </w:pPr>
    </w:p>
    <w:p>
      <w:pPr>
        <w:ind w:firstLine="640" w:firstLineChars="200"/>
        <w:rPr>
          <w:rFonts w:hint="eastAsia" w:ascii="仿宋" w:hAnsi="仿宋" w:eastAsia="仿宋" w:cs="仿宋_GB2312"/>
          <w:sz w:val="32"/>
          <w:szCs w:val="32"/>
          <w:u w:val="single"/>
        </w:rPr>
      </w:pPr>
    </w:p>
    <w:p>
      <w:pPr>
        <w:numPr>
          <w:ilvl w:val="0"/>
          <w:numId w:val="2"/>
        </w:num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lang w:eastAsia="zh-CN"/>
        </w:rPr>
        <w:t>投标</w:t>
      </w:r>
      <w:r>
        <w:rPr>
          <w:rFonts w:hint="eastAsia" w:ascii="仿宋_GB2312" w:hAnsi="宋体" w:eastAsia="仿宋_GB2312" w:cs="仿宋_GB2312"/>
          <w:b/>
          <w:sz w:val="36"/>
          <w:szCs w:val="36"/>
        </w:rPr>
        <w:t>保证金</w:t>
      </w:r>
    </w:p>
    <w:p>
      <w:pPr>
        <w:numPr>
          <w:ilvl w:val="0"/>
          <w:numId w:val="0"/>
        </w:numPr>
        <w:jc w:val="both"/>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sz w:val="28"/>
          <w:szCs w:val="28"/>
          <w:u w:val="single"/>
          <w:lang w:eastAsia="zh-CN"/>
        </w:rPr>
        <w:t>伍</w:t>
      </w:r>
      <w:r>
        <w:rPr>
          <w:rFonts w:hint="eastAsia" w:ascii="仿宋_GB2312" w:hAnsi="仿宋_GB2312" w:eastAsia="仿宋_GB2312" w:cs="仿宋_GB2312"/>
          <w:sz w:val="28"/>
          <w:szCs w:val="28"/>
          <w:u w:val="single"/>
        </w:rPr>
        <w:t>万元整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），无投标保证金的，视为无效投标。投标保证金须对公账户转账，不接受私人账户转账，同时要求注明</w:t>
      </w:r>
      <w:r>
        <w:rPr>
          <w:rFonts w:hint="eastAsia" w:ascii="仿宋_GB2312" w:hAnsi="仿宋_GB2312" w:eastAsia="仿宋_GB2312" w:cs="仿宋_GB2312"/>
          <w:sz w:val="28"/>
          <w:szCs w:val="28"/>
          <w:u w:val="single"/>
        </w:rPr>
        <w:t>第二事业部</w:t>
      </w:r>
      <w:r>
        <w:rPr>
          <w:rFonts w:hint="eastAsia" w:ascii="仿宋_GB2312" w:hAnsi="仿宋_GB2312" w:eastAsia="仿宋_GB2312" w:cs="仿宋_GB2312"/>
          <w:sz w:val="28"/>
          <w:szCs w:val="28"/>
          <w:u w:val="single"/>
          <w:lang w:eastAsia="zh-CN"/>
        </w:rPr>
        <w:t>池州书香苑</w:t>
      </w:r>
      <w:r>
        <w:rPr>
          <w:rFonts w:hint="eastAsia" w:ascii="仿宋_GB2312" w:hAnsi="仿宋_GB2312" w:eastAsia="仿宋_GB2312" w:cs="仿宋_GB2312"/>
          <w:sz w:val="28"/>
          <w:szCs w:val="28"/>
          <w:u w:val="single"/>
        </w:rPr>
        <w:t>项目-商品混凝土TGJA-WZ-20</w:t>
      </w:r>
      <w:r>
        <w:rPr>
          <w:rFonts w:hint="eastAsia" w:ascii="仿宋_GB2312" w:hAnsi="仿宋_GB2312" w:eastAsia="仿宋_GB2312" w:cs="仿宋_GB2312"/>
          <w:sz w:val="28"/>
          <w:szCs w:val="28"/>
          <w:u w:val="single"/>
          <w:lang w:val="en-US" w:eastAsia="zh-CN"/>
        </w:rPr>
        <w:t>2021</w:t>
      </w:r>
      <w:r>
        <w:rPr>
          <w:rFonts w:hint="eastAsia" w:ascii="仿宋_GB2312" w:hAnsi="仿宋_GB2312" w:eastAsia="仿宋_GB2312" w:cs="仿宋_GB2312"/>
          <w:sz w:val="28"/>
          <w:szCs w:val="28"/>
          <w:u w:val="single"/>
        </w:rPr>
        <w:t>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ind w:firstLine="560" w:firstLineChars="200"/>
        <w:rPr>
          <w:rFonts w:hint="eastAsia" w:ascii="仿宋_GB2312" w:hAnsi="仿宋_GB2312" w:eastAsia="仿宋_GB2312" w:cs="仿宋_GB2312"/>
          <w:sz w:val="28"/>
          <w:szCs w:val="28"/>
          <w:u w:val="single"/>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2020年12月1</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hint="eastAsia" w:ascii="仿宋" w:hAnsi="仿宋" w:eastAsia="仿宋" w:cs="仿宋_GB2312"/>
          <w:sz w:val="28"/>
          <w:szCs w:val="28"/>
        </w:rPr>
      </w:pPr>
    </w:p>
    <w:p>
      <w:pPr>
        <w:ind w:firstLine="560" w:firstLineChars="200"/>
        <w:rPr>
          <w:rFonts w:hint="eastAsia"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auto"/>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auto"/>
          <w:sz w:val="28"/>
          <w:szCs w:val="28"/>
          <w:u w:val="single"/>
        </w:rPr>
        <w:t>符合</w:t>
      </w:r>
      <w:r>
        <w:rPr>
          <w:rFonts w:ascii="仿宋" w:hAnsi="仿宋" w:eastAsia="仿宋" w:cs="仿宋_GB2312"/>
          <w:color w:val="auto"/>
          <w:sz w:val="28"/>
          <w:szCs w:val="28"/>
          <w:u w:val="single"/>
        </w:rPr>
        <w:t>《预拌混凝土》GB/T14902-20</w:t>
      </w:r>
      <w:r>
        <w:rPr>
          <w:rFonts w:hint="eastAsia" w:ascii="仿宋" w:hAnsi="仿宋" w:eastAsia="仿宋" w:cs="仿宋_GB2312"/>
          <w:color w:val="auto"/>
          <w:sz w:val="28"/>
          <w:szCs w:val="28"/>
          <w:u w:val="single"/>
          <w:lang w:val="en-US" w:eastAsia="zh-CN"/>
        </w:rPr>
        <w:t>12</w:t>
      </w:r>
      <w:r>
        <w:rPr>
          <w:rFonts w:ascii="仿宋" w:hAnsi="仿宋" w:eastAsia="仿宋" w:cs="仿宋_GB2312"/>
          <w:color w:val="auto"/>
          <w:sz w:val="28"/>
          <w:szCs w:val="28"/>
          <w:u w:val="single"/>
        </w:rPr>
        <w:t>标准相关规定</w:t>
      </w:r>
      <w:r>
        <w:rPr>
          <w:rFonts w:hint="eastAsia" w:ascii="仿宋" w:hAnsi="仿宋" w:eastAsia="仿宋" w:cs="仿宋_GB2312"/>
          <w:color w:val="auto"/>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highlight w:val="none"/>
        </w:rPr>
        <w:t>（4）</w:t>
      </w:r>
      <w:r>
        <w:rPr>
          <w:rFonts w:hint="eastAsia" w:ascii="仿宋" w:hAnsi="仿宋" w:eastAsia="仿宋" w:cs="仿宋_GB2312"/>
          <w:sz w:val="28"/>
          <w:szCs w:val="28"/>
          <w:highlight w:val="none"/>
          <w:u w:val="single"/>
        </w:rPr>
        <w:t>因材料产品质量不合格所造成的相关质量问题，没收中标人履约保证金（我公司将保留供方</w:t>
      </w:r>
      <w:r>
        <w:rPr>
          <w:rFonts w:hint="eastAsia" w:ascii="仿宋" w:hAnsi="仿宋" w:eastAsia="仿宋" w:cs="仿宋_GB2312"/>
          <w:sz w:val="28"/>
          <w:szCs w:val="28"/>
          <w:highlight w:val="none"/>
          <w:u w:val="single"/>
          <w:lang w:val="en-US" w:eastAsia="zh-CN"/>
        </w:rPr>
        <w:t>10</w:t>
      </w:r>
      <w:r>
        <w:rPr>
          <w:rFonts w:hint="eastAsia" w:ascii="仿宋" w:hAnsi="仿宋" w:eastAsia="仿宋" w:cs="仿宋_GB2312"/>
          <w:sz w:val="28"/>
          <w:szCs w:val="28"/>
          <w:highlight w:val="none"/>
          <w:u w:val="single"/>
        </w:rPr>
        <w:t>0000元</w:t>
      </w:r>
      <w:r>
        <w:rPr>
          <w:rFonts w:hint="eastAsia" w:ascii="仿宋" w:hAnsi="仿宋" w:eastAsia="仿宋" w:cs="仿宋_GB2312"/>
          <w:sz w:val="28"/>
          <w:szCs w:val="28"/>
          <w:u w:val="single"/>
        </w:rPr>
        <w:t>材料款作为履约保证金），</w:t>
      </w:r>
      <w:r>
        <w:rPr>
          <w:rFonts w:hint="eastAsia" w:ascii="仿宋" w:hAnsi="仿宋" w:eastAsia="仿宋" w:cs="仿宋_GB2312"/>
          <w:sz w:val="28"/>
          <w:szCs w:val="28"/>
          <w:u w:val="single"/>
          <w:lang w:eastAsia="zh-CN"/>
        </w:rPr>
        <w:t>同时对相关质量问题所引发的返工、耽误工期、对业主单位的生产影响等所有相关</w:t>
      </w:r>
      <w:r>
        <w:rPr>
          <w:rFonts w:hint="eastAsia" w:ascii="仿宋" w:hAnsi="仿宋" w:eastAsia="仿宋" w:cs="仿宋_GB2312"/>
          <w:sz w:val="28"/>
          <w:szCs w:val="28"/>
          <w:u w:val="single"/>
        </w:rPr>
        <w:t>损失，中标人</w:t>
      </w:r>
      <w:r>
        <w:rPr>
          <w:rFonts w:hint="eastAsia" w:ascii="仿宋" w:hAnsi="仿宋" w:eastAsia="仿宋" w:cs="仿宋_GB2312"/>
          <w:sz w:val="28"/>
          <w:szCs w:val="28"/>
          <w:u w:val="single"/>
          <w:lang w:eastAsia="zh-CN"/>
        </w:rPr>
        <w:t>承担相应责任</w:t>
      </w:r>
      <w:r>
        <w:rPr>
          <w:rFonts w:hint="eastAsia" w:ascii="仿宋" w:hAnsi="仿宋" w:eastAsia="仿宋" w:cs="仿宋_GB2312"/>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b/>
          <w:bCs/>
          <w:sz w:val="28"/>
          <w:szCs w:val="28"/>
        </w:rPr>
      </w:pPr>
      <w:r>
        <w:rPr>
          <w:rFonts w:hint="eastAsia" w:ascii="仿宋" w:hAnsi="仿宋" w:eastAsia="仿宋" w:cs="仿宋_GB2312"/>
          <w:sz w:val="28"/>
          <w:szCs w:val="28"/>
          <w:u w:val="single"/>
        </w:rPr>
        <w:t>按月结算（池州信息价出来后开具上月发票入账，次月支付，</w:t>
      </w:r>
      <w:r>
        <w:rPr>
          <w:rFonts w:hint="eastAsia" w:ascii="仿宋" w:hAnsi="仿宋" w:eastAsia="仿宋" w:cs="仿宋_GB2312"/>
          <w:b w:val="0"/>
          <w:bCs w:val="0"/>
          <w:sz w:val="28"/>
          <w:szCs w:val="28"/>
          <w:u w:val="single"/>
        </w:rPr>
        <w:t>每月付进账额度</w:t>
      </w:r>
      <w:r>
        <w:rPr>
          <w:rFonts w:hint="eastAsia" w:ascii="仿宋" w:hAnsi="仿宋" w:eastAsia="仿宋" w:cs="仿宋_GB2312"/>
          <w:b w:val="0"/>
          <w:bCs w:val="0"/>
          <w:sz w:val="28"/>
          <w:szCs w:val="28"/>
          <w:u w:val="single"/>
          <w:lang w:val="en-US" w:eastAsia="zh-CN"/>
        </w:rPr>
        <w:t>7</w:t>
      </w:r>
      <w:r>
        <w:rPr>
          <w:rFonts w:hint="eastAsia" w:ascii="仿宋" w:hAnsi="仿宋" w:eastAsia="仿宋" w:cs="仿宋_GB2312"/>
          <w:b w:val="0"/>
          <w:bCs w:val="0"/>
          <w:sz w:val="28"/>
          <w:szCs w:val="28"/>
          <w:u w:val="single"/>
        </w:rPr>
        <w:t>0%），其余货款工程竣工</w:t>
      </w:r>
      <w:r>
        <w:rPr>
          <w:rFonts w:hint="eastAsia" w:ascii="仿宋" w:hAnsi="仿宋" w:eastAsia="仿宋" w:cs="仿宋_GB2312"/>
          <w:b w:val="0"/>
          <w:bCs w:val="0"/>
          <w:sz w:val="28"/>
          <w:szCs w:val="28"/>
          <w:u w:val="single"/>
          <w:lang w:eastAsia="zh-CN"/>
        </w:rPr>
        <w:t>后</w:t>
      </w:r>
      <w:r>
        <w:rPr>
          <w:rFonts w:hint="eastAsia" w:ascii="仿宋" w:hAnsi="仿宋" w:eastAsia="仿宋" w:cs="仿宋_GB2312"/>
          <w:b w:val="0"/>
          <w:bCs w:val="0"/>
          <w:sz w:val="28"/>
          <w:szCs w:val="28"/>
          <w:u w:val="single"/>
        </w:rPr>
        <w:t>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（1）</w:t>
      </w:r>
      <w:r>
        <w:rPr>
          <w:rFonts w:hint="eastAsia" w:ascii="仿宋" w:hAnsi="仿宋" w:eastAsia="仿宋" w:cs="仿宋_GB2312"/>
          <w:sz w:val="28"/>
          <w:szCs w:val="28"/>
          <w:u w:val="single"/>
          <w:lang w:eastAsia="zh-CN"/>
        </w:rPr>
        <w:t>本次报价按池州市贵池区信息价下浮百分数</w:t>
      </w:r>
      <w:r>
        <w:rPr>
          <w:rFonts w:hint="eastAsia" w:ascii="仿宋" w:hAnsi="仿宋" w:eastAsia="仿宋" w:cs="仿宋_GB2312"/>
          <w:sz w:val="28"/>
          <w:szCs w:val="28"/>
          <w:u w:val="single"/>
          <w:lang w:val="en-US" w:eastAsia="zh-CN"/>
        </w:rPr>
        <w:t>。</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color w:val="auto"/>
          <w:sz w:val="28"/>
          <w:szCs w:val="28"/>
          <w:u w:val="single"/>
        </w:rPr>
        <w:t>材料送至池州市贵池区书香苑项目施工场所</w:t>
      </w:r>
      <w:r>
        <w:rPr>
          <w:rFonts w:hint="eastAsia" w:ascii="仿宋" w:hAnsi="仿宋" w:eastAsia="仿宋" w:cs="仿宋_GB2312"/>
          <w:color w:val="000000" w:themeColor="text1"/>
          <w:sz w:val="28"/>
          <w:szCs w:val="28"/>
          <w:u w:val="single"/>
        </w:rPr>
        <w:t>。</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w:t>
      </w:r>
      <w:r>
        <w:rPr>
          <w:rFonts w:hint="eastAsia" w:ascii="仿宋" w:hAnsi="仿宋" w:eastAsia="仿宋" w:cs="仿宋_GB2312"/>
          <w:sz w:val="28"/>
          <w:szCs w:val="28"/>
          <w:highlight w:val="none"/>
          <w:u w:val="single"/>
        </w:rPr>
        <w:t>安全</w:t>
      </w:r>
      <w:r>
        <w:rPr>
          <w:rFonts w:hint="eastAsia" w:ascii="仿宋" w:hAnsi="仿宋" w:eastAsia="仿宋" w:cs="仿宋_GB2312"/>
          <w:sz w:val="28"/>
          <w:szCs w:val="28"/>
          <w:highlight w:val="none"/>
          <w:u w:val="single"/>
          <w:lang w:eastAsia="zh-CN"/>
        </w:rPr>
        <w:t>、环保</w:t>
      </w:r>
      <w:r>
        <w:rPr>
          <w:rFonts w:hint="eastAsia" w:ascii="仿宋" w:hAnsi="仿宋" w:eastAsia="仿宋" w:cs="仿宋_GB2312"/>
          <w:sz w:val="28"/>
          <w:szCs w:val="28"/>
          <w:u w:val="single"/>
        </w:rPr>
        <w:t>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b/>
          <w:sz w:val="36"/>
          <w:szCs w:val="36"/>
        </w:rPr>
      </w:pPr>
      <w:r>
        <w:rPr>
          <w:rFonts w:hint="eastAsia" w:ascii="仿宋" w:hAnsi="仿宋" w:eastAsia="仿宋" w:cs="仿宋_GB2312"/>
          <w:sz w:val="28"/>
          <w:szCs w:val="28"/>
          <w:u w:val="single"/>
        </w:rPr>
        <w:t>招标人按送货方单验收，并随时抽检。</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color w:val="auto"/>
          <w:sz w:val="28"/>
          <w:szCs w:val="28"/>
          <w:u w:val="single"/>
          <w:lang w:eastAsia="zh-CN"/>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u w:val="single"/>
          <w:lang w:eastAsia="zh-CN"/>
        </w:rPr>
        <w:t>确定</w:t>
      </w:r>
      <w:r>
        <w:rPr>
          <w:rFonts w:hint="eastAsia" w:ascii="仿宋" w:hAnsi="仿宋" w:eastAsia="仿宋" w:cs="仿宋_GB2312"/>
          <w:sz w:val="28"/>
          <w:szCs w:val="28"/>
          <w:u w:val="single"/>
        </w:rPr>
        <w:t>预中标单位。</w:t>
      </w:r>
      <w:r>
        <w:rPr>
          <w:rFonts w:hint="eastAsia" w:ascii="仿宋" w:hAnsi="仿宋" w:eastAsia="仿宋" w:cs="仿宋_GB2312"/>
          <w:sz w:val="28"/>
          <w:szCs w:val="28"/>
          <w:u w:val="single"/>
          <w:lang w:eastAsia="zh-CN"/>
        </w:rPr>
        <w:t>需方设有</w:t>
      </w:r>
      <w:r>
        <w:rPr>
          <w:rFonts w:hint="eastAsia" w:ascii="仿宋" w:hAnsi="仿宋" w:eastAsia="仿宋" w:cs="仿宋_GB2312"/>
          <w:color w:val="auto"/>
          <w:sz w:val="28"/>
          <w:szCs w:val="28"/>
          <w:u w:val="single"/>
          <w:lang w:eastAsia="zh-CN"/>
        </w:rPr>
        <w:t>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jc w:val="center"/>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hint="eastAsia" w:ascii="仿宋" w:hAnsi="仿宋" w:eastAsia="仿宋" w:cs="仿宋_GB2312"/>
          <w:sz w:val="28"/>
          <w:szCs w:val="28"/>
          <w:u w:val="single"/>
        </w:rPr>
      </w:pPr>
    </w:p>
    <w:p>
      <w:pPr>
        <w:spacing w:line="600" w:lineRule="exact"/>
        <w:rPr>
          <w:rFonts w:hint="eastAsia"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hint="eastAsia" w:ascii="仿宋" w:hAnsi="仿宋" w:eastAsia="仿宋" w:cs="仿宋_GB2312"/>
          <w:sz w:val="28"/>
          <w:szCs w:val="28"/>
        </w:rPr>
      </w:pPr>
    </w:p>
    <w:p>
      <w:pPr>
        <w:spacing w:before="156" w:beforeLines="50" w:after="156" w:afterLines="50" w:line="360" w:lineRule="auto"/>
        <w:ind w:firstLine="4080" w:firstLineChars="1700"/>
        <w:rPr>
          <w:rFonts w:hint="eastAsia" w:ascii="宋体"/>
          <w:sz w:val="24"/>
        </w:rPr>
      </w:pP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156" w:beforeLines="50" w:after="156" w:afterLines="50" w:line="360" w:lineRule="auto"/>
        <w:rPr>
          <w:rFonts w:hint="eastAsia"/>
          <w:sz w:val="24"/>
        </w:rPr>
      </w:pPr>
    </w:p>
    <w:p>
      <w:pPr>
        <w:spacing w:line="600" w:lineRule="exact"/>
        <w:ind w:firstLine="7000" w:firstLineChars="25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color w:val="auto"/>
          <w:sz w:val="28"/>
          <w:szCs w:val="28"/>
          <w:lang w:val="en-US" w:eastAsia="zh-CN"/>
        </w:rPr>
        <w:t>021</w:t>
      </w:r>
      <w:r>
        <w:rPr>
          <w:rFonts w:hint="eastAsia" w:ascii="仿宋_GB2312" w:eastAsia="仿宋_GB2312"/>
          <w:b/>
          <w:sz w:val="28"/>
          <w:szCs w:val="28"/>
        </w:rPr>
        <w:t>）</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w:t>
            </w:r>
            <w:r>
              <w:rPr>
                <w:rFonts w:hint="eastAsia" w:ascii="仿宋_GB2312" w:eastAsia="仿宋_GB2312"/>
                <w:b/>
                <w:bCs/>
                <w:sz w:val="24"/>
                <w:lang w:eastAsia="zh-CN"/>
              </w:rPr>
              <w:t>（</w:t>
            </w:r>
            <w:r>
              <w:rPr>
                <w:rFonts w:hint="eastAsia" w:ascii="仿宋_GB2312" w:eastAsia="仿宋_GB2312"/>
                <w:b/>
                <w:bCs/>
                <w:sz w:val="24"/>
              </w:rPr>
              <w:t>按池州市贵池区信息价下浮百分数</w:t>
            </w:r>
            <w:r>
              <w:rPr>
                <w:rFonts w:hint="eastAsia" w:ascii="仿宋_GB2312" w:eastAsia="仿宋_GB2312"/>
                <w:b/>
                <w:bCs/>
                <w:sz w:val="24"/>
                <w:lang w:eastAsia="zh-CN"/>
              </w:rPr>
              <w:t>）</w:t>
            </w:r>
            <w:r>
              <w:rPr>
                <w:rFonts w:hint="eastAsia" w:ascii="仿宋_GB2312" w:eastAsia="仿宋_GB2312"/>
                <w:b/>
                <w:bCs/>
                <w:sz w:val="24"/>
              </w:rPr>
              <w:t>＊</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color w:val="auto"/>
                <w:sz w:val="24"/>
              </w:rPr>
            </w:pPr>
            <w:r>
              <w:rPr>
                <w:rFonts w:hint="eastAsia" w:ascii="仿宋_GB2312" w:eastAsia="仿宋_GB2312"/>
                <w:color w:val="auto"/>
                <w:sz w:val="24"/>
              </w:rPr>
              <w:t>1</w:t>
            </w:r>
          </w:p>
        </w:tc>
        <w:tc>
          <w:tcPr>
            <w:tcW w:w="1365" w:type="dxa"/>
            <w:vAlign w:val="center"/>
          </w:tcPr>
          <w:p>
            <w:pPr>
              <w:widowControl/>
              <w:jc w:val="center"/>
              <w:textAlignment w:val="center"/>
              <w:rPr>
                <w:rFonts w:ascii="仿宋_GB2312" w:eastAsia="仿宋_GB2312"/>
                <w:color w:val="auto"/>
                <w:sz w:val="24"/>
              </w:rPr>
            </w:pPr>
            <w:r>
              <w:rPr>
                <w:rFonts w:hint="eastAsia" w:ascii="宋体" w:hAnsi="宋体" w:cs="宋体"/>
                <w:color w:val="auto"/>
                <w:kern w:val="0"/>
                <w:sz w:val="20"/>
                <w:szCs w:val="20"/>
              </w:rPr>
              <w:t>商品混凝土</w:t>
            </w:r>
          </w:p>
        </w:tc>
        <w:tc>
          <w:tcPr>
            <w:tcW w:w="1515" w:type="dxa"/>
            <w:vAlign w:val="center"/>
          </w:tcPr>
          <w:p>
            <w:pPr>
              <w:widowControl/>
              <w:jc w:val="center"/>
              <w:textAlignment w:val="center"/>
              <w:rPr>
                <w:rFonts w:ascii="仿宋_GB2312" w:eastAsia="仿宋_GB2312"/>
                <w:color w:val="auto"/>
                <w:sz w:val="24"/>
              </w:rPr>
            </w:pPr>
          </w:p>
        </w:tc>
        <w:tc>
          <w:tcPr>
            <w:tcW w:w="1860" w:type="dxa"/>
            <w:vAlign w:val="center"/>
          </w:tcPr>
          <w:p>
            <w:pPr>
              <w:widowControl/>
              <w:jc w:val="center"/>
              <w:textAlignment w:val="center"/>
              <w:rPr>
                <w:rFonts w:hint="default" w:ascii="宋体" w:hAnsi="宋体" w:eastAsia="宋体" w:cs="宋体"/>
                <w:color w:val="auto"/>
                <w:kern w:val="0"/>
                <w:sz w:val="20"/>
                <w:szCs w:val="20"/>
                <w:lang w:val="en-US" w:eastAsia="zh-CN"/>
              </w:rPr>
            </w:pPr>
            <w:r>
              <w:rPr>
                <w:rFonts w:ascii="宋体" w:hAnsi="宋体" w:cs="宋体"/>
                <w:color w:val="auto"/>
                <w:kern w:val="0"/>
                <w:sz w:val="20"/>
                <w:szCs w:val="20"/>
              </w:rPr>
              <w:t>GB/T14902-20</w:t>
            </w:r>
            <w:r>
              <w:rPr>
                <w:rFonts w:hint="eastAsia" w:ascii="宋体" w:hAnsi="宋体" w:cs="宋体"/>
                <w:color w:val="auto"/>
                <w:kern w:val="0"/>
                <w:sz w:val="20"/>
                <w:szCs w:val="20"/>
                <w:lang w:val="en-US" w:eastAsia="zh-CN"/>
              </w:rPr>
              <w:t>12</w:t>
            </w:r>
          </w:p>
        </w:tc>
        <w:tc>
          <w:tcPr>
            <w:tcW w:w="720" w:type="dxa"/>
            <w:vAlign w:val="center"/>
          </w:tcPr>
          <w:p>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M³</w:t>
            </w:r>
          </w:p>
        </w:tc>
        <w:tc>
          <w:tcPr>
            <w:tcW w:w="975" w:type="dxa"/>
            <w:vAlign w:val="center"/>
          </w:tcPr>
          <w:p>
            <w:pPr>
              <w:widowControl/>
              <w:jc w:val="center"/>
              <w:textAlignment w:val="center"/>
              <w:rPr>
                <w:rFonts w:ascii="仿宋_GB2312" w:eastAsia="仿宋_GB2312"/>
                <w:color w:val="auto"/>
                <w:sz w:val="24"/>
              </w:rPr>
            </w:pPr>
            <w:r>
              <w:rPr>
                <w:rFonts w:hint="eastAsia" w:ascii="仿宋_GB2312" w:eastAsia="仿宋_GB2312"/>
                <w:color w:val="auto"/>
                <w:sz w:val="24"/>
              </w:rPr>
              <w:t>10000</w:t>
            </w:r>
          </w:p>
        </w:tc>
        <w:tc>
          <w:tcPr>
            <w:tcW w:w="2492" w:type="dxa"/>
            <w:vAlign w:val="center"/>
          </w:tcPr>
          <w:p>
            <w:pPr>
              <w:jc w:val="center"/>
              <w:rPr>
                <w:rFonts w:ascii="仿宋_GB2312" w:eastAsia="仿宋_GB2312"/>
                <w:color w:val="auto"/>
                <w:sz w:val="24"/>
              </w:rPr>
            </w:pPr>
          </w:p>
        </w:tc>
        <w:tc>
          <w:tcPr>
            <w:tcW w:w="1348" w:type="dxa"/>
            <w:vAlign w:val="center"/>
          </w:tcPr>
          <w:p>
            <w:pPr>
              <w:jc w:val="center"/>
              <w:rPr>
                <w:rFonts w:ascii="仿宋_GB2312" w:eastAsia="仿宋_GB2312"/>
                <w:color w:val="auto"/>
                <w:sz w:val="24"/>
              </w:rPr>
            </w:pPr>
          </w:p>
        </w:tc>
        <w:tc>
          <w:tcPr>
            <w:tcW w:w="4461" w:type="dxa"/>
            <w:vAlign w:val="center"/>
          </w:tcPr>
          <w:p>
            <w:pPr>
              <w:jc w:val="center"/>
              <w:rPr>
                <w:rFonts w:ascii="仿宋_GB2312" w:eastAsia="仿宋_GB2312"/>
                <w:color w:val="auto"/>
                <w:sz w:val="24"/>
              </w:rPr>
            </w:pPr>
            <w:r>
              <w:rPr>
                <w:rFonts w:hint="eastAsia" w:ascii="仿宋_GB2312" w:hAnsi="仿宋_GB2312" w:eastAsia="仿宋_GB2312" w:cs="仿宋_GB2312"/>
                <w:bCs/>
                <w:color w:val="auto"/>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 </w:t>
            </w:r>
            <w:r>
              <w:rPr>
                <w:rFonts w:hint="eastAsia" w:ascii="仿宋_GB2312" w:eastAsia="仿宋_GB2312"/>
                <w:b w:val="0"/>
                <w:bCs w:val="0"/>
                <w:sz w:val="24"/>
              </w:rPr>
              <w:t>号</w:t>
            </w:r>
            <w:r>
              <w:rPr>
                <w:rFonts w:hint="eastAsia" w:ascii="仿宋_GB2312" w:eastAsia="仿宋_GB2312"/>
                <w:sz w:val="24"/>
              </w:rPr>
              <w:t>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2815E37"/>
    <w:multiLevelType w:val="singleLevel"/>
    <w:tmpl w:val="72815E37"/>
    <w:lvl w:ilvl="0" w:tentative="0">
      <w:start w:val="6"/>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1B31A31"/>
    <w:rsid w:val="12A820AD"/>
    <w:rsid w:val="17D86D23"/>
    <w:rsid w:val="18AF15FD"/>
    <w:rsid w:val="1B59783C"/>
    <w:rsid w:val="1BBF797C"/>
    <w:rsid w:val="1DEE2CCA"/>
    <w:rsid w:val="2037683E"/>
    <w:rsid w:val="223E7710"/>
    <w:rsid w:val="25590EC9"/>
    <w:rsid w:val="26A26CEB"/>
    <w:rsid w:val="299D4A4C"/>
    <w:rsid w:val="2A1902C2"/>
    <w:rsid w:val="2AB020F1"/>
    <w:rsid w:val="2B3838B3"/>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989643E"/>
    <w:rsid w:val="3A3173ED"/>
    <w:rsid w:val="3B076549"/>
    <w:rsid w:val="3C5B75D3"/>
    <w:rsid w:val="3C7823C8"/>
    <w:rsid w:val="3DBC2399"/>
    <w:rsid w:val="3DCC4487"/>
    <w:rsid w:val="3E474521"/>
    <w:rsid w:val="3EC46DF8"/>
    <w:rsid w:val="3EC82979"/>
    <w:rsid w:val="41B46B47"/>
    <w:rsid w:val="424B79E0"/>
    <w:rsid w:val="42B960AF"/>
    <w:rsid w:val="434963F7"/>
    <w:rsid w:val="439F612A"/>
    <w:rsid w:val="441344E9"/>
    <w:rsid w:val="44842956"/>
    <w:rsid w:val="44B922E9"/>
    <w:rsid w:val="45DC2779"/>
    <w:rsid w:val="465E02D2"/>
    <w:rsid w:val="46BC5513"/>
    <w:rsid w:val="499D4ACB"/>
    <w:rsid w:val="4A4163CA"/>
    <w:rsid w:val="4CC94A41"/>
    <w:rsid w:val="4E822997"/>
    <w:rsid w:val="4ED20DFA"/>
    <w:rsid w:val="4F0F5DA2"/>
    <w:rsid w:val="4F397E6D"/>
    <w:rsid w:val="4F54161A"/>
    <w:rsid w:val="504C2BE7"/>
    <w:rsid w:val="50D759E8"/>
    <w:rsid w:val="51B50E5A"/>
    <w:rsid w:val="554830C1"/>
    <w:rsid w:val="56B4262E"/>
    <w:rsid w:val="576F2EA8"/>
    <w:rsid w:val="5807041D"/>
    <w:rsid w:val="583F79D3"/>
    <w:rsid w:val="58691989"/>
    <w:rsid w:val="58F960F8"/>
    <w:rsid w:val="599F0979"/>
    <w:rsid w:val="5C1E1084"/>
    <w:rsid w:val="5EE01EF7"/>
    <w:rsid w:val="60F035C2"/>
    <w:rsid w:val="63BE0649"/>
    <w:rsid w:val="63E45615"/>
    <w:rsid w:val="67A41EF7"/>
    <w:rsid w:val="69AD4D95"/>
    <w:rsid w:val="69B54174"/>
    <w:rsid w:val="6A315ABB"/>
    <w:rsid w:val="6A660AE8"/>
    <w:rsid w:val="6A87598F"/>
    <w:rsid w:val="6C55155E"/>
    <w:rsid w:val="6F127F28"/>
    <w:rsid w:val="703849D5"/>
    <w:rsid w:val="711712EF"/>
    <w:rsid w:val="74B57A97"/>
    <w:rsid w:val="7541303A"/>
    <w:rsid w:val="77C81C4C"/>
    <w:rsid w:val="79136B09"/>
    <w:rsid w:val="793439F5"/>
    <w:rsid w:val="796E3D99"/>
    <w:rsid w:val="79ED6ADC"/>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9</Pages>
  <Words>437</Words>
  <Characters>2495</Characters>
  <Lines>20</Lines>
  <Paragraphs>5</Paragraphs>
  <TotalTime>8</TotalTime>
  <ScaleCrop>false</ScaleCrop>
  <LinksUpToDate>false</LinksUpToDate>
  <CharactersWithSpaces>2927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2020-12-11T02:13:23Z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